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8D614" w14:textId="77777777" w:rsidR="005F5797" w:rsidRDefault="005F5797" w:rsidP="00385CE3">
      <w:pPr>
        <w:bidi w:val="0"/>
        <w:jc w:val="center"/>
        <w:rPr>
          <w:color w:val="000000"/>
        </w:rPr>
      </w:pPr>
      <w:r>
        <w:rPr>
          <w:color w:val="000000"/>
        </w:rPr>
        <w:t>Chapter One</w:t>
      </w:r>
    </w:p>
    <w:p w14:paraId="17C97A09" w14:textId="77777777" w:rsidR="00221A2C" w:rsidRDefault="00221A2C" w:rsidP="00385CE3">
      <w:pPr>
        <w:bidi w:val="0"/>
        <w:rPr>
          <w:color w:val="000000"/>
          <w:rtl/>
        </w:rPr>
      </w:pPr>
    </w:p>
    <w:p w14:paraId="275B6AA9" w14:textId="77777777" w:rsidR="00221A2C" w:rsidRPr="00BF5309" w:rsidRDefault="00FB72EF" w:rsidP="00385CE3">
      <w:pPr>
        <w:pStyle w:val="Heading2"/>
        <w:rPr>
          <w:color w:val="000000" w:themeColor="text1"/>
          <w:rtl/>
          <w:lang w:val="en-GB"/>
        </w:rPr>
      </w:pPr>
      <w:r w:rsidRPr="00BF5309">
        <w:rPr>
          <w:color w:val="000000" w:themeColor="text1"/>
        </w:rPr>
        <w:t>Terms</w:t>
      </w:r>
      <w:r w:rsidR="007F6F31" w:rsidRPr="00BF5309">
        <w:rPr>
          <w:color w:val="000000" w:themeColor="text1"/>
        </w:rPr>
        <w:t>,</w:t>
      </w:r>
      <w:r w:rsidR="00221A2C" w:rsidRPr="00BF5309">
        <w:rPr>
          <w:color w:val="000000" w:themeColor="text1"/>
        </w:rPr>
        <w:t xml:space="preserve"> </w:t>
      </w:r>
      <w:r w:rsidRPr="00BF5309">
        <w:rPr>
          <w:color w:val="000000" w:themeColor="text1"/>
        </w:rPr>
        <w:t>Indicators</w:t>
      </w:r>
      <w:r w:rsidR="007F6F31" w:rsidRPr="00BF5309">
        <w:rPr>
          <w:color w:val="000000" w:themeColor="text1"/>
        </w:rPr>
        <w:t xml:space="preserve"> and Classifications</w:t>
      </w:r>
    </w:p>
    <w:p w14:paraId="7917A27E" w14:textId="77777777" w:rsidR="00221A2C" w:rsidRPr="00BF5309" w:rsidRDefault="00221A2C" w:rsidP="00385CE3">
      <w:pPr>
        <w:bidi w:val="0"/>
        <w:rPr>
          <w:color w:val="000000" w:themeColor="text1"/>
          <w:rtl/>
          <w:lang w:val="en-GB"/>
        </w:rPr>
      </w:pPr>
    </w:p>
    <w:p w14:paraId="1AC1B875" w14:textId="77777777" w:rsidR="007F6F31" w:rsidRPr="00BF5309" w:rsidRDefault="00B957F5" w:rsidP="00385CE3">
      <w:pPr>
        <w:pStyle w:val="Heading2"/>
        <w:jc w:val="left"/>
        <w:rPr>
          <w:color w:val="000000" w:themeColor="text1"/>
          <w:sz w:val="24"/>
          <w:szCs w:val="24"/>
          <w:rtl/>
        </w:rPr>
      </w:pPr>
      <w:r w:rsidRPr="00BF5309">
        <w:rPr>
          <w:color w:val="000000" w:themeColor="text1"/>
          <w:sz w:val="24"/>
          <w:szCs w:val="24"/>
        </w:rPr>
        <w:t>1.1 Terms</w:t>
      </w:r>
      <w:r w:rsidR="007F6F31" w:rsidRPr="00BF5309">
        <w:rPr>
          <w:color w:val="000000" w:themeColor="text1"/>
          <w:sz w:val="24"/>
          <w:szCs w:val="24"/>
        </w:rPr>
        <w:t xml:space="preserve"> and </w:t>
      </w:r>
      <w:r w:rsidR="00FB72EF" w:rsidRPr="00BF5309">
        <w:rPr>
          <w:color w:val="000000" w:themeColor="text1"/>
          <w:sz w:val="24"/>
          <w:szCs w:val="24"/>
        </w:rPr>
        <w:t>Indicators</w:t>
      </w:r>
    </w:p>
    <w:p w14:paraId="14CE1D93" w14:textId="77777777" w:rsidR="007F6F31" w:rsidRPr="00BF5309" w:rsidRDefault="007F6F31" w:rsidP="00385CE3">
      <w:pPr>
        <w:bidi w:val="0"/>
        <w:ind w:left="-540" w:firstLine="540"/>
        <w:rPr>
          <w:b/>
          <w:bCs/>
          <w:color w:val="000000" w:themeColor="text1"/>
          <w:sz w:val="16"/>
          <w:szCs w:val="16"/>
        </w:rPr>
      </w:pPr>
    </w:p>
    <w:p w14:paraId="4251454D" w14:textId="77777777" w:rsidR="00221A2C" w:rsidRPr="00BF5309" w:rsidRDefault="00B957F5" w:rsidP="00385CE3">
      <w:pPr>
        <w:bidi w:val="0"/>
        <w:ind w:left="-540" w:firstLine="540"/>
        <w:rPr>
          <w:b/>
          <w:bCs/>
          <w:color w:val="000000" w:themeColor="text1"/>
        </w:rPr>
      </w:pPr>
      <w:r w:rsidRPr="00BF5309">
        <w:rPr>
          <w:b/>
          <w:bCs/>
          <w:color w:val="000000" w:themeColor="text1"/>
        </w:rPr>
        <w:t>1.1.1 General</w:t>
      </w:r>
      <w:r w:rsidR="00221A2C" w:rsidRPr="00BF5309">
        <w:rPr>
          <w:b/>
          <w:bCs/>
          <w:color w:val="000000" w:themeColor="text1"/>
        </w:rPr>
        <w:t xml:space="preserve"> Concepts </w:t>
      </w:r>
    </w:p>
    <w:p w14:paraId="42DC7DF4" w14:textId="77777777" w:rsidR="00221A2C" w:rsidRPr="00BF5309" w:rsidRDefault="00221A2C" w:rsidP="00385CE3">
      <w:pPr>
        <w:bidi w:val="0"/>
        <w:rPr>
          <w:b/>
          <w:bCs/>
          <w:color w:val="000000" w:themeColor="text1"/>
          <w:sz w:val="16"/>
          <w:szCs w:val="16"/>
        </w:rPr>
      </w:pPr>
    </w:p>
    <w:p w14:paraId="1FD8D175" w14:textId="77777777" w:rsidR="00221A2C" w:rsidRPr="00BF5309" w:rsidRDefault="00221A2C" w:rsidP="00385CE3">
      <w:pPr>
        <w:bidi w:val="0"/>
        <w:jc w:val="both"/>
        <w:rPr>
          <w:b/>
          <w:bCs/>
          <w:color w:val="000000" w:themeColor="text1"/>
        </w:rPr>
      </w:pPr>
      <w:r w:rsidRPr="00BF5309">
        <w:rPr>
          <w:b/>
          <w:bCs/>
          <w:color w:val="000000" w:themeColor="text1"/>
        </w:rPr>
        <w:t>Health Accounts:</w:t>
      </w:r>
    </w:p>
    <w:p w14:paraId="5BE84AD9" w14:textId="77777777" w:rsidR="00877C17" w:rsidRPr="00BF5309" w:rsidRDefault="00877C17" w:rsidP="00877C17">
      <w:pPr>
        <w:bidi w:val="0"/>
        <w:jc w:val="both"/>
        <w:rPr>
          <w:color w:val="000000" w:themeColor="text1"/>
        </w:rPr>
      </w:pPr>
      <w:r w:rsidRPr="00BF5309">
        <w:rPr>
          <w:color w:val="000000" w:themeColor="text1"/>
        </w:rPr>
        <w:t xml:space="preserve">A tool to provide a systematic compilation of health expenditure.  It can trace how much is being spent, where it is being spent, what is being spent on and for whom, how that has changed over time and how that compares to spending in countries facing similar conditions.  It is an essential part of assessing the success of the health care system and of identifying opportunities for improvement.  </w:t>
      </w:r>
    </w:p>
    <w:p w14:paraId="798C3C66" w14:textId="77777777" w:rsidR="00221A2C" w:rsidRPr="00BF5309" w:rsidRDefault="00221A2C" w:rsidP="00385CE3">
      <w:pPr>
        <w:bidi w:val="0"/>
        <w:jc w:val="both"/>
        <w:rPr>
          <w:b/>
          <w:bCs/>
          <w:color w:val="000000" w:themeColor="text1"/>
          <w:sz w:val="16"/>
          <w:szCs w:val="16"/>
          <w:u w:val="single"/>
        </w:rPr>
      </w:pPr>
    </w:p>
    <w:p w14:paraId="13F5FF88" w14:textId="77777777" w:rsidR="00221A2C" w:rsidRPr="00BF5309" w:rsidRDefault="00221A2C" w:rsidP="00385CE3">
      <w:pPr>
        <w:bidi w:val="0"/>
        <w:jc w:val="both"/>
        <w:rPr>
          <w:color w:val="000000" w:themeColor="text1"/>
        </w:rPr>
      </w:pPr>
      <w:r w:rsidRPr="00BF5309">
        <w:rPr>
          <w:b/>
          <w:bCs/>
          <w:color w:val="000000" w:themeColor="text1"/>
        </w:rPr>
        <w:t>Current expenditure:</w:t>
      </w:r>
      <w:r w:rsidRPr="00BF5309">
        <w:rPr>
          <w:color w:val="000000" w:themeColor="text1"/>
        </w:rPr>
        <w:t xml:space="preserve"> </w:t>
      </w:r>
    </w:p>
    <w:p w14:paraId="5F58BC3A" w14:textId="77777777" w:rsidR="00221A2C" w:rsidRPr="00BF5309" w:rsidRDefault="00221A2C" w:rsidP="00385CE3">
      <w:pPr>
        <w:bidi w:val="0"/>
        <w:jc w:val="both"/>
        <w:rPr>
          <w:color w:val="000000" w:themeColor="text1"/>
        </w:rPr>
      </w:pPr>
      <w:r w:rsidRPr="00BF5309">
        <w:rPr>
          <w:color w:val="000000" w:themeColor="text1"/>
        </w:rPr>
        <w:t>Current expenditure on health quantifies the economic resources spent on the health care functions as identified by the consumption boundaries. Furthermore, SHA concerns itself primarily with the health care goods and services consumed by resident units only, irrespective of where that consumption takes place (i.e. in the economic territory or in the rest of the world), or indeed who is paying. Therefore, exports of health care goods and services (provided to non-resident units) are excluded, whereas imports of health care goods and services for final use, for example, those goods and services consumed by residents while abroad, are included.</w:t>
      </w:r>
    </w:p>
    <w:p w14:paraId="6A39E345" w14:textId="77777777" w:rsidR="00221A2C" w:rsidRPr="00BF5309" w:rsidRDefault="00221A2C" w:rsidP="00385CE3">
      <w:pPr>
        <w:bidi w:val="0"/>
        <w:ind w:right="71"/>
        <w:jc w:val="both"/>
        <w:rPr>
          <w:color w:val="000000" w:themeColor="text1"/>
          <w:sz w:val="16"/>
          <w:szCs w:val="16"/>
        </w:rPr>
      </w:pPr>
    </w:p>
    <w:p w14:paraId="49D0C4FA" w14:textId="77777777" w:rsidR="00221A2C" w:rsidRPr="00BF5309" w:rsidRDefault="00221A2C" w:rsidP="00385CE3">
      <w:pPr>
        <w:autoSpaceDE w:val="0"/>
        <w:autoSpaceDN w:val="0"/>
        <w:bidi w:val="0"/>
        <w:adjustRightInd w:val="0"/>
        <w:rPr>
          <w:rFonts w:eastAsiaTheme="minorHAnsi"/>
          <w:color w:val="000000" w:themeColor="text1"/>
          <w:sz w:val="32"/>
          <w:szCs w:val="32"/>
          <w:lang w:eastAsia="en-US"/>
        </w:rPr>
      </w:pPr>
      <w:r w:rsidRPr="00BF5309">
        <w:rPr>
          <w:b/>
          <w:bCs/>
          <w:color w:val="000000" w:themeColor="text1"/>
        </w:rPr>
        <w:t>Capital</w:t>
      </w:r>
      <w:r w:rsidR="00474914" w:rsidRPr="00BF5309">
        <w:rPr>
          <w:b/>
          <w:bCs/>
          <w:color w:val="000000" w:themeColor="text1"/>
        </w:rPr>
        <w:t xml:space="preserve"> Formation</w:t>
      </w:r>
      <w:r w:rsidR="00F77DFF" w:rsidRPr="00BF5309">
        <w:rPr>
          <w:b/>
          <w:bCs/>
          <w:color w:val="000000" w:themeColor="text1"/>
        </w:rPr>
        <w:t xml:space="preserve"> for Health </w:t>
      </w:r>
      <w:r w:rsidR="002D640A" w:rsidRPr="00BF5309">
        <w:rPr>
          <w:b/>
          <w:bCs/>
          <w:color w:val="000000" w:themeColor="text1"/>
        </w:rPr>
        <w:t xml:space="preserve">Care </w:t>
      </w:r>
      <w:r w:rsidR="00F77DFF" w:rsidRPr="00BF5309">
        <w:rPr>
          <w:b/>
          <w:bCs/>
          <w:color w:val="000000" w:themeColor="text1"/>
        </w:rPr>
        <w:t>Providers</w:t>
      </w:r>
      <w:r w:rsidRPr="00BF5309">
        <w:rPr>
          <w:b/>
          <w:bCs/>
          <w:color w:val="000000" w:themeColor="text1"/>
        </w:rPr>
        <w:t>:</w:t>
      </w:r>
      <w:r w:rsidRPr="00BF5309">
        <w:rPr>
          <w:color w:val="000000" w:themeColor="text1"/>
        </w:rPr>
        <w:t xml:space="preserve"> </w:t>
      </w:r>
    </w:p>
    <w:p w14:paraId="69218EC6" w14:textId="77777777" w:rsidR="00C54B6E" w:rsidRPr="00BF5309" w:rsidRDefault="002D640A" w:rsidP="00385CE3">
      <w:pPr>
        <w:pStyle w:val="NormalWeb"/>
        <w:tabs>
          <w:tab w:val="right" w:pos="-540"/>
        </w:tabs>
        <w:spacing w:before="0" w:beforeAutospacing="0" w:after="0" w:afterAutospacing="0"/>
        <w:jc w:val="both"/>
        <w:rPr>
          <w:rFonts w:ascii="Times New Roman" w:eastAsiaTheme="minorEastAsia" w:hAnsi="Times New Roman" w:cs="Times New Roman"/>
          <w:color w:val="000000" w:themeColor="text1"/>
        </w:rPr>
      </w:pPr>
      <w:r w:rsidRPr="00BF5309">
        <w:rPr>
          <w:rFonts w:ascii="Times New Roman" w:eastAsiaTheme="minorEastAsia" w:hAnsi="Times New Roman" w:cs="Times New Roman"/>
          <w:color w:val="000000" w:themeColor="text1"/>
        </w:rPr>
        <w:t>C</w:t>
      </w:r>
      <w:r w:rsidR="00221A2C" w:rsidRPr="00BF5309">
        <w:rPr>
          <w:rFonts w:ascii="Times New Roman" w:eastAsiaTheme="minorEastAsia" w:hAnsi="Times New Roman" w:cs="Times New Roman"/>
          <w:color w:val="000000" w:themeColor="text1"/>
        </w:rPr>
        <w:t>apital formation in the health care system is measured by the total value of the assets that providers of health services have acquire</w:t>
      </w:r>
      <w:r w:rsidR="00A573AE" w:rsidRPr="00BF5309">
        <w:rPr>
          <w:rFonts w:ascii="Times New Roman" w:eastAsiaTheme="minorEastAsia" w:hAnsi="Times New Roman" w:cs="Times New Roman"/>
          <w:color w:val="000000" w:themeColor="text1"/>
        </w:rPr>
        <w:t xml:space="preserve">d during the accounting period </w:t>
      </w:r>
      <w:r w:rsidR="00221A2C" w:rsidRPr="00BF5309">
        <w:rPr>
          <w:rFonts w:ascii="Times New Roman" w:eastAsiaTheme="minorEastAsia" w:hAnsi="Times New Roman" w:cs="Times New Roman"/>
          <w:color w:val="000000" w:themeColor="text1"/>
        </w:rPr>
        <w:t>less the value of the dispo</w:t>
      </w:r>
      <w:r w:rsidR="00A573AE" w:rsidRPr="00BF5309">
        <w:rPr>
          <w:rFonts w:ascii="Times New Roman" w:eastAsiaTheme="minorEastAsia" w:hAnsi="Times New Roman" w:cs="Times New Roman"/>
          <w:color w:val="000000" w:themeColor="text1"/>
        </w:rPr>
        <w:t>sals of assets of the same type</w:t>
      </w:r>
      <w:r w:rsidR="00221A2C" w:rsidRPr="00BF5309">
        <w:rPr>
          <w:rFonts w:ascii="Times New Roman" w:eastAsiaTheme="minorEastAsia" w:hAnsi="Times New Roman" w:cs="Times New Roman"/>
          <w:color w:val="000000" w:themeColor="text1"/>
        </w:rPr>
        <w:t xml:space="preserve"> and that are used repeatedly or for more than one year in the provision of health services.</w:t>
      </w:r>
      <w:r w:rsidR="00C54B6E" w:rsidRPr="00BF5309">
        <w:rPr>
          <w:rFonts w:ascii="Times New Roman" w:eastAsiaTheme="minorEastAsia" w:hAnsi="Times New Roman" w:cs="Times New Roman"/>
          <w:color w:val="000000" w:themeColor="text1"/>
        </w:rPr>
        <w:t xml:space="preserve">  This item comprises gross capital formation of domestic health care providers for institutions excluding those listed under retail sale and other providers of medical goods.</w:t>
      </w:r>
    </w:p>
    <w:p w14:paraId="476F279B" w14:textId="77777777" w:rsidR="00221A2C" w:rsidRPr="00BF5309" w:rsidRDefault="00221A2C" w:rsidP="00385CE3">
      <w:pPr>
        <w:autoSpaceDE w:val="0"/>
        <w:autoSpaceDN w:val="0"/>
        <w:bidi w:val="0"/>
        <w:adjustRightInd w:val="0"/>
        <w:jc w:val="both"/>
        <w:rPr>
          <w:color w:val="000000" w:themeColor="text1"/>
          <w:sz w:val="16"/>
          <w:szCs w:val="16"/>
        </w:rPr>
      </w:pPr>
    </w:p>
    <w:p w14:paraId="0E4F51CF" w14:textId="77777777" w:rsidR="00221A2C" w:rsidRPr="00BF5309" w:rsidRDefault="00221A2C" w:rsidP="00385CE3">
      <w:pPr>
        <w:bidi w:val="0"/>
        <w:rPr>
          <w:b/>
          <w:bCs/>
          <w:color w:val="000000" w:themeColor="text1"/>
        </w:rPr>
      </w:pPr>
      <w:r w:rsidRPr="00BF5309">
        <w:rPr>
          <w:b/>
          <w:bCs/>
          <w:color w:val="000000" w:themeColor="text1"/>
        </w:rPr>
        <w:t>Accrual Basis:</w:t>
      </w:r>
    </w:p>
    <w:p w14:paraId="14022647" w14:textId="77777777" w:rsidR="00221A2C" w:rsidRPr="00BF5309" w:rsidRDefault="00221A2C" w:rsidP="00385CE3">
      <w:pPr>
        <w:bidi w:val="0"/>
        <w:jc w:val="both"/>
        <w:rPr>
          <w:color w:val="000000" w:themeColor="text1"/>
        </w:rPr>
      </w:pPr>
      <w:r w:rsidRPr="00BF5309">
        <w:rPr>
          <w:color w:val="000000" w:themeColor="text1"/>
        </w:rPr>
        <w:t>The accrual accounting record flows at the time economic value is created, transformed, exchanged, transferred or extinguished.  This means that the flows which imply a change of ownership are entered when ownership passes, services are recorded when provided, output at the time products are created, and intermediate consumption when materials and supplies are being used.</w:t>
      </w:r>
    </w:p>
    <w:p w14:paraId="31832E7C" w14:textId="77777777" w:rsidR="00221A2C" w:rsidRPr="00BF5309" w:rsidRDefault="00221A2C" w:rsidP="00385CE3">
      <w:pPr>
        <w:autoSpaceDE w:val="0"/>
        <w:autoSpaceDN w:val="0"/>
        <w:bidi w:val="0"/>
        <w:adjustRightInd w:val="0"/>
        <w:jc w:val="both"/>
        <w:rPr>
          <w:color w:val="000000" w:themeColor="text1"/>
          <w:sz w:val="16"/>
          <w:szCs w:val="16"/>
          <w:rtl/>
        </w:rPr>
      </w:pPr>
    </w:p>
    <w:p w14:paraId="109B29D6" w14:textId="77777777" w:rsidR="00221A2C" w:rsidRPr="00BF5309" w:rsidRDefault="00221A2C" w:rsidP="00385CE3">
      <w:pPr>
        <w:bidi w:val="0"/>
        <w:jc w:val="both"/>
        <w:rPr>
          <w:b/>
          <w:bCs/>
          <w:color w:val="000000" w:themeColor="text1"/>
        </w:rPr>
      </w:pPr>
      <w:r w:rsidRPr="00BF5309">
        <w:rPr>
          <w:b/>
          <w:bCs/>
          <w:color w:val="000000" w:themeColor="text1"/>
        </w:rPr>
        <w:t>Health Care:</w:t>
      </w:r>
    </w:p>
    <w:p w14:paraId="2BA0A19A" w14:textId="77777777" w:rsidR="00221A2C" w:rsidRPr="00BF5309" w:rsidRDefault="00221A2C" w:rsidP="00385CE3">
      <w:pPr>
        <w:tabs>
          <w:tab w:val="left" w:pos="5952"/>
          <w:tab w:val="left" w:pos="8787"/>
        </w:tabs>
        <w:bidi w:val="0"/>
        <w:jc w:val="both"/>
        <w:rPr>
          <w:color w:val="000000" w:themeColor="text1"/>
        </w:rPr>
      </w:pPr>
      <w:r w:rsidRPr="00BF5309">
        <w:rPr>
          <w:color w:val="000000" w:themeColor="text1"/>
        </w:rPr>
        <w:t>The sum of activities performed either by institutions or individuals pursuing the application of medical, paramedical and nursing knowledge and technology, dental, complementary and alternative services, pharmaceutical, and clinical sciences (in vitro diagnostics), nursing, health professions.  Health care covers all health care goods and services to promote health.</w:t>
      </w:r>
    </w:p>
    <w:p w14:paraId="4C6466E3" w14:textId="77777777" w:rsidR="00221A2C" w:rsidRPr="00BF5309" w:rsidRDefault="00221A2C" w:rsidP="00385CE3">
      <w:pPr>
        <w:bidi w:val="0"/>
        <w:ind w:left="-540" w:firstLine="540"/>
        <w:rPr>
          <w:color w:val="000000" w:themeColor="text1"/>
          <w:sz w:val="16"/>
          <w:szCs w:val="16"/>
        </w:rPr>
      </w:pPr>
    </w:p>
    <w:p w14:paraId="42CBF96B" w14:textId="77777777" w:rsidR="00221A2C" w:rsidRPr="00BF5309" w:rsidRDefault="00221A2C" w:rsidP="00385CE3">
      <w:pPr>
        <w:bidi w:val="0"/>
        <w:rPr>
          <w:b/>
          <w:bCs/>
          <w:color w:val="000000" w:themeColor="text1"/>
        </w:rPr>
      </w:pPr>
      <w:r w:rsidRPr="00BF5309">
        <w:rPr>
          <w:b/>
          <w:bCs/>
          <w:color w:val="000000" w:themeColor="text1"/>
        </w:rPr>
        <w:t>Government Sector:</w:t>
      </w:r>
    </w:p>
    <w:p w14:paraId="262C4761" w14:textId="77777777" w:rsidR="00221A2C" w:rsidRPr="00BF5309" w:rsidRDefault="00221A2C" w:rsidP="00385CE3">
      <w:pPr>
        <w:bidi w:val="0"/>
        <w:jc w:val="both"/>
        <w:rPr>
          <w:color w:val="000000" w:themeColor="text1"/>
        </w:rPr>
      </w:pPr>
      <w:r w:rsidRPr="00BF5309">
        <w:rPr>
          <w:color w:val="000000" w:themeColor="text1"/>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14:paraId="0BBB0EFC" w14:textId="77777777" w:rsidR="00221A2C" w:rsidRPr="00BF5309" w:rsidRDefault="00221A2C" w:rsidP="00385CE3">
      <w:pPr>
        <w:bidi w:val="0"/>
        <w:ind w:left="-540"/>
        <w:rPr>
          <w:b/>
          <w:bCs/>
          <w:color w:val="000000" w:themeColor="text1"/>
          <w:sz w:val="18"/>
          <w:szCs w:val="18"/>
        </w:rPr>
      </w:pPr>
    </w:p>
    <w:p w14:paraId="223A9C9C" w14:textId="77777777" w:rsidR="00221A2C" w:rsidRPr="00BF5309" w:rsidRDefault="00221A2C" w:rsidP="00385CE3">
      <w:pPr>
        <w:bidi w:val="0"/>
        <w:spacing w:after="200" w:line="276" w:lineRule="auto"/>
        <w:rPr>
          <w:b/>
          <w:bCs/>
          <w:color w:val="000000" w:themeColor="text1"/>
        </w:rPr>
      </w:pPr>
      <w:r w:rsidRPr="00BF5309">
        <w:rPr>
          <w:b/>
          <w:bCs/>
          <w:color w:val="000000" w:themeColor="text1"/>
        </w:rPr>
        <w:br w:type="page"/>
      </w:r>
    </w:p>
    <w:p w14:paraId="3D96D5F4" w14:textId="77777777" w:rsidR="00221A2C" w:rsidRPr="00BF5309" w:rsidRDefault="00221A2C" w:rsidP="00385CE3">
      <w:pPr>
        <w:bidi w:val="0"/>
        <w:jc w:val="both"/>
        <w:rPr>
          <w:b/>
          <w:bCs/>
          <w:color w:val="000000" w:themeColor="text1"/>
        </w:rPr>
      </w:pPr>
      <w:r w:rsidRPr="00BF5309">
        <w:rPr>
          <w:b/>
          <w:bCs/>
          <w:color w:val="000000" w:themeColor="text1"/>
        </w:rPr>
        <w:lastRenderedPageBreak/>
        <w:t>Non-profit Institution Serving Households (NPISH):</w:t>
      </w:r>
    </w:p>
    <w:p w14:paraId="5E9ABDD7" w14:textId="77777777" w:rsidR="00221A2C" w:rsidRPr="00BF5309" w:rsidRDefault="00080735" w:rsidP="00385CE3">
      <w:pPr>
        <w:bidi w:val="0"/>
        <w:rPr>
          <w:color w:val="000000" w:themeColor="text1"/>
        </w:rPr>
      </w:pPr>
      <w:r w:rsidRPr="00BF5309">
        <w:rPr>
          <w:color w:val="000000" w:themeColor="text1"/>
        </w:rPr>
        <w:t>Consists of non-market NPIs that are not controlled by government.</w:t>
      </w:r>
    </w:p>
    <w:p w14:paraId="7171D6E4" w14:textId="77777777" w:rsidR="00080735" w:rsidRPr="00BF5309" w:rsidRDefault="00080735" w:rsidP="00080735">
      <w:pPr>
        <w:bidi w:val="0"/>
        <w:jc w:val="both"/>
        <w:rPr>
          <w:b/>
          <w:bCs/>
          <w:color w:val="000000" w:themeColor="text1"/>
          <w:sz w:val="16"/>
          <w:szCs w:val="16"/>
        </w:rPr>
      </w:pPr>
    </w:p>
    <w:p w14:paraId="374DD759" w14:textId="77777777" w:rsidR="00221A2C" w:rsidRPr="00BF5309" w:rsidRDefault="00221A2C" w:rsidP="00385CE3">
      <w:pPr>
        <w:bidi w:val="0"/>
        <w:jc w:val="both"/>
        <w:rPr>
          <w:b/>
          <w:bCs/>
          <w:color w:val="000000" w:themeColor="text1"/>
        </w:rPr>
      </w:pPr>
      <w:r w:rsidRPr="00BF5309">
        <w:rPr>
          <w:b/>
          <w:bCs/>
          <w:color w:val="000000" w:themeColor="text1"/>
        </w:rPr>
        <w:t>Household:</w:t>
      </w:r>
    </w:p>
    <w:p w14:paraId="404B482D" w14:textId="77777777" w:rsidR="00221A2C" w:rsidRPr="00BF5309" w:rsidRDefault="00656EBC" w:rsidP="00385CE3">
      <w:pPr>
        <w:bidi w:val="0"/>
        <w:jc w:val="both"/>
        <w:rPr>
          <w:color w:val="000000" w:themeColor="text1"/>
        </w:rPr>
      </w:pPr>
      <w:r w:rsidRPr="00BF5309">
        <w:rPr>
          <w:color w:val="000000" w:themeColor="text1"/>
        </w:rPr>
        <w:t>One person or a group of persons with or without a household relationship, who live in the same housing unit, share meals and make joint provision of food and other essentials of living.</w:t>
      </w:r>
    </w:p>
    <w:p w14:paraId="231CADD5" w14:textId="77777777" w:rsidR="00656EBC" w:rsidRPr="00BF5309" w:rsidRDefault="00656EBC" w:rsidP="00656EBC">
      <w:pPr>
        <w:bidi w:val="0"/>
        <w:jc w:val="both"/>
        <w:rPr>
          <w:color w:val="000000" w:themeColor="text1"/>
          <w:sz w:val="16"/>
          <w:szCs w:val="16"/>
        </w:rPr>
      </w:pPr>
    </w:p>
    <w:p w14:paraId="1E4582CC" w14:textId="77777777" w:rsidR="00221A2C" w:rsidRPr="00BF5309" w:rsidRDefault="002D640A" w:rsidP="00385CE3">
      <w:pPr>
        <w:bidi w:val="0"/>
        <w:jc w:val="both"/>
        <w:rPr>
          <w:b/>
          <w:bCs/>
          <w:color w:val="000000" w:themeColor="text1"/>
        </w:rPr>
      </w:pPr>
      <w:r w:rsidRPr="00BF5309">
        <w:rPr>
          <w:b/>
          <w:bCs/>
          <w:color w:val="000000" w:themeColor="text1"/>
        </w:rPr>
        <w:t>Residence</w:t>
      </w:r>
      <w:r w:rsidR="00221A2C" w:rsidRPr="00BF5309">
        <w:rPr>
          <w:b/>
          <w:bCs/>
          <w:color w:val="000000" w:themeColor="text1"/>
        </w:rPr>
        <w:t>:</w:t>
      </w:r>
    </w:p>
    <w:p w14:paraId="6BB78B59" w14:textId="77777777" w:rsidR="000B5642" w:rsidRPr="00BF5309" w:rsidRDefault="000B5642" w:rsidP="00385CE3">
      <w:pPr>
        <w:bidi w:val="0"/>
        <w:jc w:val="both"/>
        <w:rPr>
          <w:color w:val="000000" w:themeColor="text1"/>
        </w:rPr>
      </w:pPr>
      <w:r w:rsidRPr="00BF5309">
        <w:rPr>
          <w:color w:val="000000" w:themeColor="text1"/>
        </w:rPr>
        <w:t>It is defined in economic and not legal terms.  The main criterion to determine residence of an entity is center of economic interest.  Persons are considered residents of the country where they live for at least one year.  Exceptions to this rule are embassy staff (but for locally employed people who are residents of the country where they live), patients who are treated abroad and students who live abroad even when their stay exceeds one year.</w:t>
      </w:r>
    </w:p>
    <w:p w14:paraId="7B69BADB" w14:textId="77777777" w:rsidR="000B5642" w:rsidRPr="00AB06E6" w:rsidRDefault="000B5642" w:rsidP="000B5642">
      <w:pPr>
        <w:bidi w:val="0"/>
        <w:jc w:val="both"/>
        <w:rPr>
          <w:color w:val="000000" w:themeColor="text1"/>
          <w:sz w:val="16"/>
          <w:szCs w:val="16"/>
        </w:rPr>
      </w:pPr>
    </w:p>
    <w:p w14:paraId="2232688F" w14:textId="2F93A65B" w:rsidR="00221A2C" w:rsidRPr="00BF5309" w:rsidRDefault="00221A2C" w:rsidP="000B5642">
      <w:pPr>
        <w:bidi w:val="0"/>
        <w:jc w:val="both"/>
        <w:rPr>
          <w:color w:val="000000" w:themeColor="text1"/>
        </w:rPr>
      </w:pPr>
      <w:r w:rsidRPr="00BF5309">
        <w:rPr>
          <w:color w:val="000000" w:themeColor="text1"/>
        </w:rPr>
        <w:t>Persons and establishments are considered residents of the economy where</w:t>
      </w:r>
      <w:r w:rsidR="00F42290">
        <w:rPr>
          <w:color w:val="000000" w:themeColor="text1"/>
        </w:rPr>
        <w:t xml:space="preserve"> </w:t>
      </w:r>
      <w:r w:rsidRPr="00BF5309">
        <w:rPr>
          <w:color w:val="000000" w:themeColor="text1"/>
        </w:rPr>
        <w:t xml:space="preserve">in their center of economic interest lies; this means that they will undertake a considerable part of </w:t>
      </w:r>
      <w:r w:rsidR="000B5642" w:rsidRPr="00BF5309">
        <w:rPr>
          <w:color w:val="000000" w:themeColor="text1"/>
        </w:rPr>
        <w:t>their economic activities there</w:t>
      </w:r>
      <w:r w:rsidRPr="00BF5309">
        <w:rPr>
          <w:color w:val="000000" w:themeColor="text1"/>
        </w:rPr>
        <w:t>.  Exceptions to this rule are students, medical patients and non-natives of the resident economy employed at foreign (to the resident economy) embassies, diplomatic missions and military establishments.  These three categories are considered non-residents of the economy in which they live and are residents of their country of origin, irrespective of length of stay. This does not apply to locally employed people in these institutions who are residents of the country where they live.</w:t>
      </w:r>
    </w:p>
    <w:p w14:paraId="02E1F950" w14:textId="77777777" w:rsidR="00221A2C" w:rsidRPr="00BF5309" w:rsidRDefault="00221A2C" w:rsidP="00385CE3">
      <w:pPr>
        <w:bidi w:val="0"/>
        <w:jc w:val="both"/>
        <w:rPr>
          <w:color w:val="000000" w:themeColor="text1"/>
          <w:sz w:val="18"/>
          <w:szCs w:val="18"/>
        </w:rPr>
      </w:pPr>
    </w:p>
    <w:p w14:paraId="322630DB" w14:textId="77777777" w:rsidR="00221A2C" w:rsidRPr="00BF5309" w:rsidRDefault="00221A2C" w:rsidP="00385CE3">
      <w:pPr>
        <w:bidi w:val="0"/>
        <w:jc w:val="both"/>
        <w:rPr>
          <w:color w:val="000000" w:themeColor="text1"/>
        </w:rPr>
      </w:pPr>
      <w:r w:rsidRPr="00BF5309">
        <w:rPr>
          <w:color w:val="000000" w:themeColor="text1"/>
        </w:rPr>
        <w:t>Establishments are always considered residents in the country where the activity takes place. This is in line with the concept of the center of economic interest because a productive activity is not started at whim without an intention to stay for some length of time.</w:t>
      </w:r>
    </w:p>
    <w:p w14:paraId="7E2CFD46" w14:textId="77777777" w:rsidR="00221A2C" w:rsidRPr="00BF5309" w:rsidRDefault="00221A2C" w:rsidP="00385CE3">
      <w:pPr>
        <w:bidi w:val="0"/>
        <w:jc w:val="both"/>
        <w:rPr>
          <w:b/>
          <w:bCs/>
          <w:color w:val="000000" w:themeColor="text1"/>
          <w:sz w:val="16"/>
          <w:szCs w:val="16"/>
        </w:rPr>
      </w:pPr>
    </w:p>
    <w:p w14:paraId="1EFD74B9" w14:textId="77777777" w:rsidR="00221A2C" w:rsidRPr="00BF5309" w:rsidRDefault="00221A2C" w:rsidP="00385CE3">
      <w:pPr>
        <w:bidi w:val="0"/>
        <w:jc w:val="both"/>
        <w:rPr>
          <w:b/>
          <w:bCs/>
          <w:color w:val="000000" w:themeColor="text1"/>
        </w:rPr>
      </w:pPr>
      <w:r w:rsidRPr="00BF5309">
        <w:rPr>
          <w:b/>
          <w:bCs/>
          <w:color w:val="000000" w:themeColor="text1"/>
        </w:rPr>
        <w:t>Primary Health Care:</w:t>
      </w:r>
    </w:p>
    <w:p w14:paraId="7C738E48" w14:textId="77777777" w:rsidR="00221A2C" w:rsidRPr="00BF5309" w:rsidRDefault="00221A2C" w:rsidP="00385CE3">
      <w:pPr>
        <w:bidi w:val="0"/>
        <w:jc w:val="both"/>
        <w:rPr>
          <w:color w:val="000000" w:themeColor="text1"/>
        </w:rPr>
      </w:pPr>
      <w:r w:rsidRPr="00BF5309">
        <w:rPr>
          <w:color w:val="000000" w:themeColor="text1"/>
        </w:rPr>
        <w:t>This comprises first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p>
    <w:p w14:paraId="78265F62" w14:textId="77777777" w:rsidR="00221A2C" w:rsidRPr="00BF5309" w:rsidRDefault="00221A2C" w:rsidP="00385CE3">
      <w:pPr>
        <w:bidi w:val="0"/>
        <w:ind w:left="-540"/>
        <w:rPr>
          <w:b/>
          <w:bCs/>
          <w:color w:val="000000" w:themeColor="text1"/>
          <w:sz w:val="16"/>
          <w:szCs w:val="16"/>
        </w:rPr>
      </w:pPr>
    </w:p>
    <w:p w14:paraId="73261CEC" w14:textId="77777777" w:rsidR="00221A2C" w:rsidRPr="00BF5309" w:rsidRDefault="00221A2C" w:rsidP="00385CE3">
      <w:pPr>
        <w:bidi w:val="0"/>
        <w:jc w:val="both"/>
        <w:rPr>
          <w:b/>
          <w:bCs/>
          <w:color w:val="000000" w:themeColor="text1"/>
        </w:rPr>
      </w:pPr>
      <w:r w:rsidRPr="00BF5309">
        <w:rPr>
          <w:b/>
          <w:bCs/>
          <w:color w:val="000000" w:themeColor="text1"/>
        </w:rPr>
        <w:t>Secondary Care Institutions:</w:t>
      </w:r>
    </w:p>
    <w:p w14:paraId="18308059" w14:textId="77777777" w:rsidR="00221A2C" w:rsidRPr="00BF5309" w:rsidRDefault="00221A2C" w:rsidP="00385CE3">
      <w:pPr>
        <w:bidi w:val="0"/>
        <w:jc w:val="both"/>
        <w:textAlignment w:val="top"/>
        <w:rPr>
          <w:color w:val="000000" w:themeColor="text1"/>
        </w:rPr>
      </w:pPr>
      <w:r w:rsidRPr="00BF5309">
        <w:rPr>
          <w:color w:val="000000" w:themeColor="text1"/>
        </w:rPr>
        <w:t>The institutions providing specialized health care recommended by primary health care providers or in emergency cases.</w:t>
      </w:r>
    </w:p>
    <w:p w14:paraId="17B89E7E" w14:textId="77777777" w:rsidR="00221A2C" w:rsidRPr="00BF5309" w:rsidRDefault="00221A2C" w:rsidP="00385CE3">
      <w:pPr>
        <w:bidi w:val="0"/>
        <w:ind w:left="-540"/>
        <w:rPr>
          <w:b/>
          <w:bCs/>
          <w:color w:val="000000" w:themeColor="text1"/>
          <w:sz w:val="16"/>
          <w:szCs w:val="16"/>
        </w:rPr>
      </w:pPr>
    </w:p>
    <w:p w14:paraId="20A4F82E" w14:textId="77777777" w:rsidR="00221A2C" w:rsidRPr="00BF5309" w:rsidRDefault="00221A2C" w:rsidP="00385CE3">
      <w:pPr>
        <w:bidi w:val="0"/>
        <w:ind w:left="-540" w:firstLine="540"/>
        <w:rPr>
          <w:b/>
          <w:bCs/>
          <w:color w:val="000000" w:themeColor="text1"/>
        </w:rPr>
      </w:pPr>
      <w:r w:rsidRPr="00BF5309">
        <w:rPr>
          <w:b/>
          <w:bCs/>
          <w:color w:val="000000" w:themeColor="text1"/>
          <w:lang w:eastAsia="en-US" w:bidi="ar-JO"/>
        </w:rPr>
        <w:t>Tertiary Health Care:</w:t>
      </w:r>
    </w:p>
    <w:p w14:paraId="73D1BD39" w14:textId="77777777" w:rsidR="00221A2C" w:rsidRPr="00BF5309" w:rsidRDefault="00221A2C" w:rsidP="00385CE3">
      <w:pPr>
        <w:bidi w:val="0"/>
        <w:jc w:val="both"/>
        <w:rPr>
          <w:color w:val="000000" w:themeColor="text1"/>
        </w:rPr>
      </w:pPr>
      <w:r w:rsidRPr="00BF5309">
        <w:rPr>
          <w:color w:val="000000" w:themeColor="text1"/>
        </w:rPr>
        <w:t xml:space="preserve">This includes specialized consultative care, usually on </w:t>
      </w:r>
      <w:hyperlink r:id="rId8" w:tooltip="Referral (medicine)" w:history="1">
        <w:r w:rsidRPr="00BF5309">
          <w:rPr>
            <w:color w:val="000000" w:themeColor="text1"/>
          </w:rPr>
          <w:t>referral</w:t>
        </w:r>
      </w:hyperlink>
      <w:r w:rsidRPr="00BF5309">
        <w:rPr>
          <w:color w:val="000000" w:themeColor="text1"/>
        </w:rPr>
        <w:t xml:space="preserve"> from </w:t>
      </w:r>
      <w:hyperlink r:id="rId9" w:tooltip="Primary care" w:history="1">
        <w:r w:rsidRPr="00BF5309">
          <w:rPr>
            <w:color w:val="000000" w:themeColor="text1"/>
          </w:rPr>
          <w:t>primary</w:t>
        </w:r>
      </w:hyperlink>
      <w:r w:rsidRPr="00BF5309">
        <w:rPr>
          <w:color w:val="000000" w:themeColor="text1"/>
        </w:rPr>
        <w:t xml:space="preserve"> health or </w:t>
      </w:r>
      <w:hyperlink r:id="rId10" w:tooltip="Secondary care" w:history="1">
        <w:r w:rsidRPr="00BF5309">
          <w:rPr>
            <w:color w:val="000000" w:themeColor="text1"/>
          </w:rPr>
          <w:t>secondary medical care</w:t>
        </w:r>
      </w:hyperlink>
      <w:r w:rsidRPr="00BF5309">
        <w:rPr>
          <w:color w:val="000000" w:themeColor="text1"/>
        </w:rPr>
        <w:t xml:space="preserve"> personnel, by specialists working in a center that has personnel and facilities for special examination and treatment.</w:t>
      </w:r>
    </w:p>
    <w:p w14:paraId="50551C9B" w14:textId="77777777" w:rsidR="00221A2C" w:rsidRPr="00BF5309" w:rsidRDefault="00221A2C" w:rsidP="00385CE3">
      <w:pPr>
        <w:bidi w:val="0"/>
        <w:jc w:val="both"/>
        <w:rPr>
          <w:color w:val="000000" w:themeColor="text1"/>
          <w:sz w:val="16"/>
          <w:szCs w:val="16"/>
        </w:rPr>
      </w:pPr>
    </w:p>
    <w:p w14:paraId="6C374B89" w14:textId="77777777" w:rsidR="00221A2C" w:rsidRPr="00BF5309" w:rsidRDefault="00221A2C" w:rsidP="00385CE3">
      <w:pPr>
        <w:bidi w:val="0"/>
        <w:jc w:val="both"/>
        <w:rPr>
          <w:b/>
          <w:bCs/>
          <w:color w:val="000000" w:themeColor="text1"/>
        </w:rPr>
      </w:pPr>
      <w:r w:rsidRPr="00BF5309">
        <w:rPr>
          <w:b/>
          <w:bCs/>
          <w:color w:val="000000" w:themeColor="text1"/>
        </w:rPr>
        <w:t xml:space="preserve">Rehabilitation Center: </w:t>
      </w:r>
    </w:p>
    <w:p w14:paraId="2059AFD2" w14:textId="77777777" w:rsidR="00221A2C" w:rsidRPr="00BF5309" w:rsidRDefault="00221A2C" w:rsidP="00385CE3">
      <w:pPr>
        <w:bidi w:val="0"/>
        <w:jc w:val="both"/>
        <w:rPr>
          <w:color w:val="000000" w:themeColor="text1"/>
        </w:rPr>
      </w:pPr>
      <w:r w:rsidRPr="00BF5309">
        <w:rPr>
          <w:color w:val="000000" w:themeColor="text1"/>
        </w:rPr>
        <w:t xml:space="preserve"> It is a </w:t>
      </w:r>
      <w:r w:rsidR="002376A8" w:rsidRPr="00BF5309">
        <w:rPr>
          <w:color w:val="000000" w:themeColor="text1"/>
        </w:rPr>
        <w:t>facility which</w:t>
      </w:r>
      <w:r w:rsidRPr="00BF5309">
        <w:rPr>
          <w:color w:val="000000" w:themeColor="text1"/>
        </w:rPr>
        <w:t xml:space="preserve"> provides therapy and training for rehabilitation.  Such centers m</w:t>
      </w:r>
      <w:r w:rsidR="0072248E" w:rsidRPr="00BF5309">
        <w:rPr>
          <w:color w:val="000000" w:themeColor="text1"/>
        </w:rPr>
        <w:t xml:space="preserve">ay offer occupational therapy, </w:t>
      </w:r>
      <w:r w:rsidRPr="00BF5309">
        <w:rPr>
          <w:color w:val="000000" w:themeColor="text1"/>
        </w:rPr>
        <w:t>physiotherapy, vocational training, and other kinds of special training such as speech therapy for recovery from injury</w:t>
      </w:r>
      <w:r w:rsidRPr="00BF5309">
        <w:rPr>
          <w:color w:val="000000" w:themeColor="text1"/>
          <w:rtl/>
          <w:lang w:val="en-GB"/>
        </w:rPr>
        <w:t xml:space="preserve"> </w:t>
      </w:r>
      <w:r w:rsidRPr="00BF5309">
        <w:rPr>
          <w:color w:val="000000" w:themeColor="text1"/>
        </w:rPr>
        <w:t xml:space="preserve">or illness to resume normal function where possible. </w:t>
      </w:r>
    </w:p>
    <w:p w14:paraId="2BBAD83E" w14:textId="77777777" w:rsidR="00221A2C" w:rsidRPr="00BF5309" w:rsidRDefault="00221A2C" w:rsidP="00385CE3">
      <w:pPr>
        <w:bidi w:val="0"/>
        <w:rPr>
          <w:b/>
          <w:bCs/>
          <w:color w:val="000000" w:themeColor="text1"/>
          <w:sz w:val="16"/>
          <w:szCs w:val="16"/>
        </w:rPr>
      </w:pPr>
    </w:p>
    <w:p w14:paraId="3A068AE8" w14:textId="77777777" w:rsidR="00221A2C" w:rsidRPr="00BF5309" w:rsidRDefault="00221A2C" w:rsidP="00385CE3">
      <w:pPr>
        <w:bidi w:val="0"/>
        <w:jc w:val="both"/>
        <w:rPr>
          <w:b/>
          <w:bCs/>
          <w:color w:val="000000" w:themeColor="text1"/>
        </w:rPr>
      </w:pPr>
      <w:r w:rsidRPr="00BF5309">
        <w:rPr>
          <w:b/>
          <w:bCs/>
          <w:color w:val="000000" w:themeColor="text1"/>
        </w:rPr>
        <w:t>Health Insurance:</w:t>
      </w:r>
    </w:p>
    <w:p w14:paraId="280BAB97" w14:textId="77777777" w:rsidR="00221A2C" w:rsidRDefault="00221A2C" w:rsidP="00532D2B">
      <w:pPr>
        <w:bidi w:val="0"/>
        <w:jc w:val="both"/>
        <w:rPr>
          <w:color w:val="000000" w:themeColor="text1"/>
        </w:rPr>
      </w:pPr>
      <w:r w:rsidRPr="00BF5309">
        <w:rPr>
          <w:color w:val="000000" w:themeColor="text1"/>
        </w:rPr>
        <w:t xml:space="preserve">A contract between the insured and the insurer to the effect that in the event of specified events occurring (determined in the insurance contract), the insurer will pay compensation either to the insured person or to the health service provider. </w:t>
      </w:r>
    </w:p>
    <w:p w14:paraId="62C29A5E" w14:textId="77777777" w:rsidR="00532D2B" w:rsidRDefault="00532D2B" w:rsidP="00317959">
      <w:pPr>
        <w:pStyle w:val="NormalWeb"/>
        <w:spacing w:before="0" w:beforeAutospacing="0" w:after="0" w:afterAutospacing="0"/>
        <w:jc w:val="both"/>
        <w:rPr>
          <w:rFonts w:ascii="Times New Roman" w:hAnsi="Times New Roman" w:cs="Times New Roman"/>
          <w:b/>
          <w:bCs/>
          <w:color w:val="000000" w:themeColor="text1"/>
        </w:rPr>
      </w:pPr>
      <w:r w:rsidRPr="00AD0D57">
        <w:rPr>
          <w:rFonts w:ascii="Times New Roman" w:hAnsi="Times New Roman" w:cs="Times New Roman"/>
          <w:b/>
          <w:bCs/>
          <w:color w:val="000000" w:themeColor="text1"/>
        </w:rPr>
        <w:lastRenderedPageBreak/>
        <w:t>Based on the</w:t>
      </w:r>
      <w:r w:rsidR="00AD0D57" w:rsidRPr="00AD0D57">
        <w:rPr>
          <w:rFonts w:ascii="Times New Roman" w:hAnsi="Times New Roman" w:cs="Times New Roman"/>
          <w:b/>
          <w:bCs/>
          <w:color w:val="000000" w:themeColor="text1"/>
        </w:rPr>
        <w:t xml:space="preserve"> classifications</w:t>
      </w:r>
      <w:r w:rsidR="00AD0D57">
        <w:rPr>
          <w:rFonts w:ascii="Times New Roman" w:hAnsi="Times New Roman" w:cs="Times New Roman"/>
          <w:color w:val="000000" w:themeColor="text1"/>
        </w:rPr>
        <w:t xml:space="preserve"> of</w:t>
      </w:r>
      <w:r>
        <w:rPr>
          <w:rFonts w:ascii="Times New Roman" w:hAnsi="Times New Roman" w:cs="Times New Roman"/>
          <w:color w:val="000000" w:themeColor="text1"/>
        </w:rPr>
        <w:t xml:space="preserve"> </w:t>
      </w:r>
      <w:r w:rsidR="00317959">
        <w:rPr>
          <w:rFonts w:ascii="Times New Roman" w:hAnsi="Times New Roman" w:cs="Times New Roman"/>
          <w:color w:val="000000" w:themeColor="text1"/>
        </w:rPr>
        <w:t xml:space="preserve">the </w:t>
      </w:r>
      <w:r>
        <w:rPr>
          <w:rFonts w:ascii="Times New Roman" w:hAnsi="Times New Roman" w:cs="Times New Roman"/>
          <w:color w:val="000000" w:themeColor="text1"/>
        </w:rPr>
        <w:t xml:space="preserve">system of health accounts (SHA 2011 edition) </w:t>
      </w:r>
      <w:r w:rsidR="00317959">
        <w:rPr>
          <w:rFonts w:ascii="Times New Roman" w:hAnsi="Times New Roman" w:cs="Times New Roman"/>
          <w:color w:val="000000" w:themeColor="text1"/>
        </w:rPr>
        <w:t xml:space="preserve">concept and definitions where divided according to </w:t>
      </w:r>
      <w:r>
        <w:rPr>
          <w:rFonts w:ascii="Times New Roman" w:hAnsi="Times New Roman" w:cs="Times New Roman"/>
          <w:color w:val="000000" w:themeColor="text1"/>
        </w:rPr>
        <w:t>(financing schemes, financing agents, providers, functions, and revenues)</w:t>
      </w:r>
      <w:r w:rsidR="00AD0D57">
        <w:rPr>
          <w:rFonts w:ascii="Times New Roman" w:hAnsi="Times New Roman" w:cs="Times New Roman"/>
          <w:color w:val="000000" w:themeColor="text1"/>
        </w:rPr>
        <w:t>.</w:t>
      </w:r>
    </w:p>
    <w:p w14:paraId="5EA8F22C" w14:textId="77777777" w:rsidR="00532D2B" w:rsidRPr="00BF5309" w:rsidRDefault="00532D2B" w:rsidP="00532D2B">
      <w:pPr>
        <w:bidi w:val="0"/>
        <w:jc w:val="both"/>
        <w:rPr>
          <w:b/>
          <w:bCs/>
          <w:color w:val="000000" w:themeColor="text1"/>
        </w:rPr>
      </w:pPr>
    </w:p>
    <w:p w14:paraId="125F5CA7" w14:textId="77777777" w:rsidR="00221A2C" w:rsidRPr="00BF5309" w:rsidRDefault="002376A8" w:rsidP="001E6D21">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1.1.2 Concepts</w:t>
      </w:r>
      <w:r w:rsidR="00221A2C" w:rsidRPr="00BF5309">
        <w:rPr>
          <w:rFonts w:ascii="Times New Roman" w:hAnsi="Times New Roman" w:cs="Times New Roman"/>
          <w:b/>
          <w:bCs/>
          <w:color w:val="000000" w:themeColor="text1"/>
        </w:rPr>
        <w:t xml:space="preserve"> of Financing Schemes</w:t>
      </w:r>
      <w:r w:rsidR="0072248E" w:rsidRPr="00BF5309">
        <w:rPr>
          <w:rFonts w:ascii="Times New Roman" w:hAnsi="Times New Roman" w:cs="Times New Roman"/>
          <w:b/>
          <w:bCs/>
          <w:color w:val="000000" w:themeColor="text1"/>
        </w:rPr>
        <w:t xml:space="preserve"> </w:t>
      </w:r>
    </w:p>
    <w:p w14:paraId="6F721DE6" w14:textId="77777777" w:rsidR="00221A2C" w:rsidRPr="00AB06E6" w:rsidRDefault="00221A2C" w:rsidP="00385CE3">
      <w:pPr>
        <w:pStyle w:val="NormalWeb"/>
        <w:spacing w:before="0" w:beforeAutospacing="0" w:after="0" w:afterAutospacing="0"/>
        <w:ind w:left="-540" w:firstLine="540"/>
        <w:rPr>
          <w:rFonts w:ascii="Times New Roman" w:hAnsi="Times New Roman" w:cs="Times New Roman"/>
          <w:b/>
          <w:bCs/>
          <w:color w:val="000000" w:themeColor="text1"/>
          <w:sz w:val="16"/>
          <w:szCs w:val="16"/>
          <w:rtl/>
        </w:rPr>
      </w:pPr>
    </w:p>
    <w:p w14:paraId="07F1F958"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Government schemes and compulsory contributory health care financing scheme:</w:t>
      </w:r>
    </w:p>
    <w:p w14:paraId="68F750F3"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category includes all schemes aimed at ensuring access to basic health care for the whole society, a large part of it, or at least some vulnerable groups. Included are: government schemes, social health insurance, compulsory private insurance and compulsory medical saving accounts. A key rationale for government intervention in health systems is to ensure access to basic health care for the whole society (or vulnerable social groups)</w:t>
      </w:r>
      <w:r w:rsidRPr="00BF5309">
        <w:rPr>
          <w:color w:val="000000" w:themeColor="text1"/>
        </w:rPr>
        <w:t>.</w:t>
      </w:r>
    </w:p>
    <w:p w14:paraId="72E96C04"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7FE1CB50" w14:textId="77777777" w:rsidR="00221A2C" w:rsidRPr="00BF5309" w:rsidRDefault="00221A2C" w:rsidP="00385CE3">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Voluntary health care payment schemes:</w:t>
      </w:r>
    </w:p>
    <w:p w14:paraId="1441B1A1"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category includes all domestic pre-paid health care financing schemes under which the access to health services is at the discretion of private actors (though this “discretion” can and often is influenced by government laws and regulations). Included are: voluntary health insurance, NPISH financing schemes and Enterprise financing schemes.</w:t>
      </w:r>
    </w:p>
    <w:p w14:paraId="374820D1" w14:textId="77777777" w:rsidR="00221A2C" w:rsidRPr="00BF5309" w:rsidRDefault="00221A2C" w:rsidP="00385CE3">
      <w:pPr>
        <w:pStyle w:val="NormalWeb"/>
        <w:spacing w:before="0" w:beforeAutospacing="0" w:after="0" w:afterAutospacing="0"/>
        <w:ind w:left="-540" w:firstLine="540"/>
        <w:rPr>
          <w:rFonts w:ascii="Times New Roman" w:hAnsi="Times New Roman" w:cs="Times New Roman"/>
          <w:b/>
          <w:bCs/>
          <w:color w:val="000000" w:themeColor="text1"/>
          <w:sz w:val="16"/>
          <w:szCs w:val="16"/>
        </w:rPr>
      </w:pPr>
    </w:p>
    <w:p w14:paraId="651FB5A9" w14:textId="77777777" w:rsidR="00221A2C" w:rsidRPr="00BF5309" w:rsidRDefault="00221A2C" w:rsidP="00B6327B">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 xml:space="preserve">Household out-of-pocket </w:t>
      </w:r>
      <w:r w:rsidR="00B6327B" w:rsidRPr="00BF5309">
        <w:rPr>
          <w:rFonts w:ascii="Times New Roman" w:hAnsi="Times New Roman" w:cs="Times New Roman"/>
          <w:b/>
          <w:bCs/>
          <w:color w:val="000000" w:themeColor="text1"/>
        </w:rPr>
        <w:t>expenditure</w:t>
      </w:r>
      <w:r w:rsidRPr="00BF5309">
        <w:rPr>
          <w:rFonts w:ascii="Times New Roman" w:hAnsi="Times New Roman" w:cs="Times New Roman"/>
          <w:b/>
          <w:bCs/>
          <w:color w:val="000000" w:themeColor="text1"/>
        </w:rPr>
        <w:t>:</w:t>
      </w:r>
    </w:p>
    <w:p w14:paraId="0C88F608" w14:textId="77777777" w:rsidR="00221A2C" w:rsidRPr="00BF5309" w:rsidRDefault="002376A8"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It is</w:t>
      </w:r>
      <w:r w:rsidR="00221A2C" w:rsidRPr="00BF5309">
        <w:rPr>
          <w:rFonts w:eastAsia="Arial Unicode MS"/>
          <w:color w:val="000000" w:themeColor="text1"/>
        </w:rPr>
        <w:t xml:space="preserve"> a direct payment for services from the household primary income or savings (no third-party payer is involved): the payment is made by the user at the time of the use of services. Included are cost-sharing and informal payments (both in cash and kind). Out-of-pocket payments (OOP) show the direct burden of medical costs that households bear at the time of service use. </w:t>
      </w:r>
      <w:r w:rsidR="00AD6C7C" w:rsidRPr="00BF5309">
        <w:rPr>
          <w:rFonts w:eastAsia="Arial Unicode MS"/>
          <w:color w:val="000000" w:themeColor="text1"/>
        </w:rPr>
        <w:t>(</w:t>
      </w:r>
      <w:r w:rsidR="00221A2C" w:rsidRPr="00BF5309">
        <w:rPr>
          <w:rFonts w:eastAsia="Arial Unicode MS"/>
          <w:color w:val="000000" w:themeColor="text1"/>
        </w:rPr>
        <w:t>OOP</w:t>
      </w:r>
      <w:r w:rsidR="00AD6C7C" w:rsidRPr="00BF5309">
        <w:rPr>
          <w:rFonts w:eastAsia="Arial Unicode MS"/>
          <w:color w:val="000000" w:themeColor="text1"/>
        </w:rPr>
        <w:t>)</w:t>
      </w:r>
      <w:r w:rsidR="00221A2C" w:rsidRPr="00BF5309">
        <w:rPr>
          <w:rFonts w:eastAsia="Arial Unicode MS"/>
          <w:color w:val="000000" w:themeColor="text1"/>
        </w:rPr>
        <w:t xml:space="preserve"> play an important role in every health care system. In lower-income countries, out-of-pocket expenditure is often the main form of health care financing.</w:t>
      </w:r>
    </w:p>
    <w:p w14:paraId="7D533804" w14:textId="77777777" w:rsidR="00221A2C" w:rsidRPr="00BF5309" w:rsidRDefault="00221A2C" w:rsidP="00385CE3">
      <w:pPr>
        <w:autoSpaceDE w:val="0"/>
        <w:autoSpaceDN w:val="0"/>
        <w:bidi w:val="0"/>
        <w:adjustRightInd w:val="0"/>
        <w:jc w:val="both"/>
        <w:rPr>
          <w:rFonts w:eastAsia="Arial Unicode MS"/>
          <w:color w:val="000000" w:themeColor="text1"/>
          <w:sz w:val="16"/>
          <w:szCs w:val="16"/>
          <w:rtl/>
        </w:rPr>
      </w:pPr>
    </w:p>
    <w:p w14:paraId="7C98EA9C" w14:textId="77777777" w:rsidR="00221A2C" w:rsidRPr="00BF5309" w:rsidRDefault="00221A2C" w:rsidP="00385CE3">
      <w:pPr>
        <w:pStyle w:val="NormalWeb"/>
        <w:tabs>
          <w:tab w:val="left" w:pos="2513"/>
        </w:tabs>
        <w:spacing w:before="0" w:beforeAutospacing="0" w:after="0" w:afterAutospacing="0"/>
        <w:rPr>
          <w:rFonts w:ascii="Times New Roman" w:hAnsi="Times New Roman" w:cs="Times New Roman"/>
          <w:b/>
          <w:bCs/>
          <w:color w:val="000000" w:themeColor="text1"/>
        </w:rPr>
      </w:pPr>
      <w:r w:rsidRPr="00BF5309">
        <w:rPr>
          <w:rFonts w:ascii="Times New Roman" w:hAnsi="Times New Roman" w:cs="Times New Roman"/>
          <w:b/>
          <w:bCs/>
          <w:color w:val="000000" w:themeColor="text1"/>
        </w:rPr>
        <w:t>Rest of the World</w:t>
      </w:r>
      <w:r w:rsidR="003859C3">
        <w:rPr>
          <w:rFonts w:ascii="Times New Roman" w:hAnsi="Times New Roman" w:cs="Times New Roman"/>
          <w:b/>
          <w:bCs/>
          <w:color w:val="000000" w:themeColor="text1"/>
        </w:rPr>
        <w:t xml:space="preserve"> (as</w:t>
      </w:r>
      <w:r w:rsidR="003859C3" w:rsidRPr="003859C3">
        <w:rPr>
          <w:rFonts w:ascii="Times New Roman" w:hAnsi="Times New Roman" w:cs="Times New Roman"/>
          <w:b/>
          <w:bCs/>
          <w:color w:val="000000" w:themeColor="text1"/>
        </w:rPr>
        <w:t xml:space="preserve"> </w:t>
      </w:r>
      <w:r w:rsidR="003859C3">
        <w:rPr>
          <w:rFonts w:ascii="Times New Roman" w:hAnsi="Times New Roman" w:cs="Times New Roman"/>
          <w:b/>
          <w:bCs/>
          <w:color w:val="000000" w:themeColor="text1"/>
        </w:rPr>
        <w:t>financing scheme)</w:t>
      </w:r>
      <w:r w:rsidRPr="00BF5309">
        <w:rPr>
          <w:rFonts w:ascii="Times New Roman" w:hAnsi="Times New Roman" w:cs="Times New Roman"/>
          <w:b/>
          <w:bCs/>
          <w:color w:val="000000" w:themeColor="text1"/>
        </w:rPr>
        <w:t>:</w:t>
      </w:r>
    </w:p>
    <w:p w14:paraId="116D57F0"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item comprises financial arrangements involving institutional units (or managed by institutional units) that are resident abroad, but who collect, pool resources and purchase health care goods and services on behalf of residents, without transiting their funds through a resident scheme.</w:t>
      </w:r>
    </w:p>
    <w:p w14:paraId="2AD35001" w14:textId="77777777" w:rsidR="00221A2C" w:rsidRPr="00BF5309" w:rsidRDefault="00221A2C" w:rsidP="00385CE3">
      <w:pPr>
        <w:autoSpaceDE w:val="0"/>
        <w:autoSpaceDN w:val="0"/>
        <w:bidi w:val="0"/>
        <w:adjustRightInd w:val="0"/>
        <w:jc w:val="both"/>
        <w:rPr>
          <w:rFonts w:eastAsia="Arial Unicode MS"/>
          <w:b/>
          <w:bCs/>
          <w:color w:val="000000" w:themeColor="text1"/>
        </w:rPr>
      </w:pPr>
    </w:p>
    <w:p w14:paraId="07B10A96" w14:textId="77777777" w:rsidR="00221A2C" w:rsidRPr="00BF5309" w:rsidRDefault="00B957F5" w:rsidP="00385CE3">
      <w:pPr>
        <w:autoSpaceDE w:val="0"/>
        <w:autoSpaceDN w:val="0"/>
        <w:bidi w:val="0"/>
        <w:adjustRightInd w:val="0"/>
        <w:jc w:val="both"/>
        <w:rPr>
          <w:rFonts w:eastAsia="Arial Unicode MS"/>
          <w:b/>
          <w:bCs/>
          <w:color w:val="000000" w:themeColor="text1"/>
        </w:rPr>
      </w:pPr>
      <w:r w:rsidRPr="00BF5309">
        <w:rPr>
          <w:rFonts w:eastAsia="Arial Unicode MS"/>
          <w:b/>
          <w:bCs/>
          <w:color w:val="000000" w:themeColor="text1"/>
        </w:rPr>
        <w:t>1.1.3 Concepts</w:t>
      </w:r>
      <w:r w:rsidR="001E6D21" w:rsidRPr="00BF5309">
        <w:rPr>
          <w:rFonts w:eastAsia="Arial Unicode MS"/>
          <w:b/>
          <w:bCs/>
          <w:color w:val="000000" w:themeColor="text1"/>
        </w:rPr>
        <w:t xml:space="preserve"> of health f</w:t>
      </w:r>
      <w:r w:rsidR="00221A2C" w:rsidRPr="00BF5309">
        <w:rPr>
          <w:rFonts w:eastAsia="Arial Unicode MS"/>
          <w:b/>
          <w:bCs/>
          <w:color w:val="000000" w:themeColor="text1"/>
        </w:rPr>
        <w:t>inancing agents:</w:t>
      </w:r>
    </w:p>
    <w:p w14:paraId="2DEFD643"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Financing agents are institutional units that manage one or more financing schemes: they collect revenues and/or purchase services under the rules of the given health care financing scheme(s). This includes households as financing agents for out-of-pocket payments. This includes:</w:t>
      </w:r>
    </w:p>
    <w:p w14:paraId="64FBA3E6" w14:textId="77777777"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Central government.</w:t>
      </w:r>
    </w:p>
    <w:p w14:paraId="24CBAD69" w14:textId="77777777"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I</w:t>
      </w:r>
      <w:r w:rsidR="00221A2C" w:rsidRPr="00BF5309">
        <w:rPr>
          <w:rFonts w:eastAsia="Arial Unicode MS"/>
          <w:color w:val="000000" w:themeColor="text1"/>
        </w:rPr>
        <w:t>nsurance corporations</w:t>
      </w:r>
      <w:r w:rsidRPr="00BF5309">
        <w:rPr>
          <w:rFonts w:eastAsia="Arial Unicode MS"/>
          <w:color w:val="000000" w:themeColor="text1"/>
        </w:rPr>
        <w:t>.</w:t>
      </w:r>
    </w:p>
    <w:p w14:paraId="34C85C7A" w14:textId="77777777" w:rsidR="00221A2C" w:rsidRPr="00BF5309" w:rsidRDefault="00221A2C"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Nonprofit institutions s</w:t>
      </w:r>
      <w:r w:rsidR="00FB72EF" w:rsidRPr="00BF5309">
        <w:rPr>
          <w:rFonts w:eastAsia="Arial Unicode MS"/>
          <w:color w:val="000000" w:themeColor="text1"/>
        </w:rPr>
        <w:t>erving households (NPISH).</w:t>
      </w:r>
    </w:p>
    <w:p w14:paraId="05908B2B" w14:textId="77777777"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Household.</w:t>
      </w:r>
    </w:p>
    <w:p w14:paraId="153791BE" w14:textId="77777777" w:rsidR="00221A2C" w:rsidRPr="00BF5309" w:rsidRDefault="00221A2C"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Rest of the world.</w:t>
      </w:r>
    </w:p>
    <w:p w14:paraId="0FDEE471"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p>
    <w:p w14:paraId="74EE824A" w14:textId="77777777" w:rsidR="00221A2C" w:rsidRPr="00BF5309" w:rsidRDefault="00237B34"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1.</w:t>
      </w:r>
      <w:r w:rsidR="00883E2D" w:rsidRPr="00BF5309">
        <w:rPr>
          <w:rFonts w:ascii="Times New Roman" w:hAnsi="Times New Roman" w:cs="Times New Roman"/>
          <w:b/>
          <w:bCs/>
          <w:color w:val="000000" w:themeColor="text1"/>
        </w:rPr>
        <w:t>1</w:t>
      </w:r>
      <w:r w:rsidR="00221A2C" w:rsidRPr="00BF5309">
        <w:rPr>
          <w:rFonts w:ascii="Times New Roman" w:hAnsi="Times New Roman" w:cs="Times New Roman"/>
          <w:b/>
          <w:bCs/>
          <w:color w:val="000000" w:themeColor="text1"/>
        </w:rPr>
        <w:t xml:space="preserve">.4 </w:t>
      </w:r>
      <w:r w:rsidR="008A6A51" w:rsidRPr="00BF5309">
        <w:rPr>
          <w:rFonts w:ascii="Times New Roman" w:hAnsi="Times New Roman" w:cs="Times New Roman"/>
          <w:b/>
          <w:bCs/>
          <w:color w:val="000000" w:themeColor="text1"/>
        </w:rPr>
        <w:t>Concepts</w:t>
      </w:r>
      <w:r w:rsidR="00C36779" w:rsidRPr="00BF5309">
        <w:rPr>
          <w:rFonts w:ascii="Times New Roman" w:hAnsi="Times New Roman" w:cs="Times New Roman"/>
          <w:b/>
          <w:bCs/>
          <w:color w:val="000000" w:themeColor="text1"/>
        </w:rPr>
        <w:t xml:space="preserve"> </w:t>
      </w:r>
      <w:r w:rsidR="008A6A51" w:rsidRPr="00BF5309">
        <w:rPr>
          <w:rFonts w:ascii="Times New Roman" w:hAnsi="Times New Roman" w:cs="Times New Roman"/>
          <w:b/>
          <w:bCs/>
          <w:color w:val="000000" w:themeColor="text1"/>
        </w:rPr>
        <w:t>of r</w:t>
      </w:r>
      <w:r w:rsidR="00B353CF" w:rsidRPr="00BF5309">
        <w:rPr>
          <w:rFonts w:ascii="Times New Roman" w:hAnsi="Times New Roman" w:cs="Times New Roman"/>
          <w:b/>
          <w:bCs/>
          <w:color w:val="000000" w:themeColor="text1"/>
        </w:rPr>
        <w:t>evenues of Health Care Financing S</w:t>
      </w:r>
      <w:r w:rsidR="00221A2C" w:rsidRPr="00BF5309">
        <w:rPr>
          <w:rFonts w:ascii="Times New Roman" w:hAnsi="Times New Roman" w:cs="Times New Roman"/>
          <w:b/>
          <w:bCs/>
          <w:color w:val="000000" w:themeColor="text1"/>
        </w:rPr>
        <w:t>chemes</w:t>
      </w:r>
    </w:p>
    <w:p w14:paraId="7D093668"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657938C7"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Transfers from government domestic revenue</w:t>
      </w:r>
      <w:r w:rsidR="00366E63" w:rsidRPr="00BF5309">
        <w:rPr>
          <w:rFonts w:ascii="Times New Roman" w:hAnsi="Times New Roman" w:cs="Times New Roman"/>
          <w:b/>
          <w:bCs/>
          <w:color w:val="000000" w:themeColor="text1"/>
        </w:rPr>
        <w:t>s</w:t>
      </w:r>
      <w:r w:rsidRPr="00BF5309">
        <w:rPr>
          <w:rFonts w:ascii="Times New Roman" w:hAnsi="Times New Roman" w:cs="Times New Roman"/>
          <w:b/>
          <w:bCs/>
          <w:color w:val="000000" w:themeColor="text1"/>
        </w:rPr>
        <w:t>:</w:t>
      </w:r>
    </w:p>
    <w:p w14:paraId="76841404"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This item refers to the funds allocated from government domestic revenues for health purposes. </w:t>
      </w:r>
    </w:p>
    <w:p w14:paraId="4400C29B" w14:textId="77777777" w:rsidR="00221A2C" w:rsidRPr="00BF5309" w:rsidRDefault="00221A2C" w:rsidP="00385CE3">
      <w:pPr>
        <w:autoSpaceDE w:val="0"/>
        <w:autoSpaceDN w:val="0"/>
        <w:bidi w:val="0"/>
        <w:adjustRightInd w:val="0"/>
        <w:jc w:val="both"/>
        <w:rPr>
          <w:rFonts w:eastAsia="Arial Unicode MS"/>
          <w:color w:val="000000" w:themeColor="text1"/>
          <w:sz w:val="16"/>
          <w:szCs w:val="16"/>
        </w:rPr>
      </w:pPr>
    </w:p>
    <w:p w14:paraId="6C36968A" w14:textId="77777777" w:rsidR="00F65CEC" w:rsidRDefault="00F65CEC">
      <w:pPr>
        <w:bidi w:val="0"/>
        <w:spacing w:after="200" w:line="276" w:lineRule="auto"/>
        <w:rPr>
          <w:rFonts w:eastAsia="Arial Unicode MS"/>
          <w:b/>
          <w:bCs/>
          <w:color w:val="000000" w:themeColor="text1"/>
        </w:rPr>
      </w:pPr>
      <w:r>
        <w:rPr>
          <w:b/>
          <w:bCs/>
          <w:color w:val="000000" w:themeColor="text1"/>
        </w:rPr>
        <w:br w:type="page"/>
      </w:r>
    </w:p>
    <w:p w14:paraId="053A0AFF"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lastRenderedPageBreak/>
        <w:t>Transfers distributed by government from foreign</w:t>
      </w:r>
      <w:r w:rsidR="00366E63" w:rsidRPr="00BF5309">
        <w:rPr>
          <w:rFonts w:ascii="Times New Roman" w:hAnsi="Times New Roman" w:cs="Times New Roman"/>
          <w:b/>
          <w:bCs/>
          <w:color w:val="000000" w:themeColor="text1"/>
        </w:rPr>
        <w:t xml:space="preserve"> origin</w:t>
      </w:r>
      <w:r w:rsidRPr="00BF5309">
        <w:rPr>
          <w:rFonts w:ascii="Times New Roman" w:hAnsi="Times New Roman" w:cs="Times New Roman"/>
          <w:b/>
          <w:bCs/>
          <w:color w:val="000000" w:themeColor="text1"/>
        </w:rPr>
        <w:t>:</w:t>
      </w:r>
    </w:p>
    <w:p w14:paraId="1EC48A9E"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Transfers originating abroad (bilateral, multilateral or other types of foreign funding) that are distributed through the general government are recorded here. For the financing scheme receiving these funds, the provider of the fund is the government, but the fund itself is from a foreign origin. The origin of the revenue can only be registered at the level of the transaction of the revenue.</w:t>
      </w:r>
    </w:p>
    <w:p w14:paraId="750688CA" w14:textId="77777777" w:rsidR="00F65CEC" w:rsidRPr="00F65CEC" w:rsidRDefault="00F65CEC" w:rsidP="00F65CEC">
      <w:pPr>
        <w:pStyle w:val="NormalWeb"/>
        <w:tabs>
          <w:tab w:val="left" w:pos="1983"/>
        </w:tabs>
        <w:spacing w:before="0" w:beforeAutospacing="0" w:after="0" w:afterAutospacing="0"/>
        <w:jc w:val="both"/>
        <w:rPr>
          <w:rFonts w:ascii="Times New Roman" w:hAnsi="Times New Roman" w:cs="Times New Roman"/>
          <w:b/>
          <w:bCs/>
          <w:color w:val="000000" w:themeColor="text1"/>
          <w:sz w:val="16"/>
          <w:szCs w:val="16"/>
        </w:rPr>
      </w:pPr>
      <w:r w:rsidRPr="00F65CEC">
        <w:rPr>
          <w:rFonts w:ascii="Times New Roman" w:hAnsi="Times New Roman" w:cs="Times New Roman"/>
          <w:b/>
          <w:bCs/>
          <w:color w:val="000000" w:themeColor="text1"/>
          <w:sz w:val="16"/>
          <w:szCs w:val="16"/>
        </w:rPr>
        <w:tab/>
      </w:r>
    </w:p>
    <w:p w14:paraId="16BAB2D5"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Social insurance contributions:</w:t>
      </w:r>
    </w:p>
    <w:p w14:paraId="136B5C30"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Social health insurance contributions are receipts either from employers on behalf of their employees or from employees, the self-employed or non-employed persons on their own behalf that secure entitlement to social health insurance benefits. Sub-categories of social insurance contributions are classified by the type of institutional units that pay the social insurance contribution on behalf of the </w:t>
      </w:r>
      <w:r w:rsidR="002376A8" w:rsidRPr="00BF5309">
        <w:rPr>
          <w:rFonts w:eastAsia="Arial Unicode MS"/>
          <w:color w:val="000000" w:themeColor="text1"/>
        </w:rPr>
        <w:t>insure</w:t>
      </w:r>
      <w:r w:rsidRPr="00BF5309">
        <w:rPr>
          <w:rFonts w:eastAsia="Arial Unicode MS"/>
          <w:color w:val="000000" w:themeColor="text1"/>
        </w:rPr>
        <w:t>.</w:t>
      </w:r>
    </w:p>
    <w:p w14:paraId="18BC69DE" w14:textId="77777777" w:rsidR="00221A2C" w:rsidRPr="00BF5309" w:rsidRDefault="00221A2C" w:rsidP="00385CE3">
      <w:pPr>
        <w:autoSpaceDE w:val="0"/>
        <w:autoSpaceDN w:val="0"/>
        <w:bidi w:val="0"/>
        <w:adjustRightInd w:val="0"/>
        <w:jc w:val="both"/>
        <w:rPr>
          <w:rFonts w:eastAsia="Arial Unicode MS"/>
          <w:color w:val="000000" w:themeColor="text1"/>
          <w:sz w:val="16"/>
          <w:szCs w:val="16"/>
        </w:rPr>
      </w:pPr>
    </w:p>
    <w:p w14:paraId="0F36279E"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Voluntary prepayment:</w:t>
      </w:r>
    </w:p>
    <w:p w14:paraId="2B9A9431"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This includes voluntary private insurance premiums. Voluntary insurance premiums are payments received from the </w:t>
      </w:r>
      <w:r w:rsidR="002376A8" w:rsidRPr="00BF5309">
        <w:rPr>
          <w:rFonts w:eastAsia="Arial Unicode MS"/>
          <w:color w:val="000000" w:themeColor="text1"/>
        </w:rPr>
        <w:t>insure</w:t>
      </w:r>
      <w:r w:rsidRPr="00BF5309">
        <w:rPr>
          <w:rFonts w:eastAsia="Arial Unicode MS"/>
          <w:color w:val="000000" w:themeColor="text1"/>
        </w:rPr>
        <w:t xml:space="preserve"> or other institutional units on behalf of the insure that secure entitlement to benefits of the voluntary health insurance schemes. Subcategories of voluntary prepayment are classified by the type of institutional units paying the revenues, as follows:</w:t>
      </w:r>
    </w:p>
    <w:p w14:paraId="6433F3B1" w14:textId="77777777"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Voluntary prepaym</w:t>
      </w:r>
      <w:r w:rsidR="00366E63" w:rsidRPr="00BF5309">
        <w:rPr>
          <w:rFonts w:eastAsia="Arial Unicode MS"/>
          <w:color w:val="000000" w:themeColor="text1"/>
        </w:rPr>
        <w:t>ent from individuals/households.</w:t>
      </w:r>
    </w:p>
    <w:p w14:paraId="3818A99D" w14:textId="77777777"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Volu</w:t>
      </w:r>
      <w:r w:rsidR="00366E63" w:rsidRPr="00BF5309">
        <w:rPr>
          <w:rFonts w:eastAsia="Arial Unicode MS"/>
          <w:color w:val="000000" w:themeColor="text1"/>
        </w:rPr>
        <w:t>ntary prepayment from employers.</w:t>
      </w:r>
    </w:p>
    <w:p w14:paraId="252FBD7C" w14:textId="77777777"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voluntary prepaid revenues (for example, received from institutional units other than</w:t>
      </w:r>
      <w:r w:rsidR="00B12F2E" w:rsidRPr="00BF5309">
        <w:rPr>
          <w:rFonts w:eastAsia="Arial Unicode MS"/>
          <w:color w:val="000000" w:themeColor="text1"/>
        </w:rPr>
        <w:t xml:space="preserve"> </w:t>
      </w:r>
      <w:r w:rsidRPr="00BF5309">
        <w:rPr>
          <w:rFonts w:eastAsia="Arial Unicode MS"/>
          <w:color w:val="000000" w:themeColor="text1"/>
        </w:rPr>
        <w:t>households and employers)</w:t>
      </w:r>
      <w:r w:rsidR="00366E63" w:rsidRPr="00BF5309">
        <w:rPr>
          <w:rFonts w:eastAsia="Arial Unicode MS"/>
          <w:color w:val="000000" w:themeColor="text1"/>
        </w:rPr>
        <w:t>.</w:t>
      </w:r>
    </w:p>
    <w:p w14:paraId="33850288" w14:textId="77777777" w:rsidR="00221A2C" w:rsidRPr="00BF5309" w:rsidRDefault="00221A2C" w:rsidP="00385CE3">
      <w:pPr>
        <w:bidi w:val="0"/>
        <w:ind w:firstLineChars="100" w:firstLine="160"/>
        <w:rPr>
          <w:rFonts w:eastAsia="Times New Roman"/>
          <w:color w:val="000000" w:themeColor="text1"/>
          <w:sz w:val="16"/>
          <w:szCs w:val="16"/>
          <w:lang w:eastAsia="en-US"/>
        </w:rPr>
      </w:pPr>
    </w:p>
    <w:p w14:paraId="10BEF5FF"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Other domestic revenues:</w:t>
      </w:r>
    </w:p>
    <w:p w14:paraId="08F00245" w14:textId="77777777" w:rsidR="00221A2C" w:rsidRPr="00BF5309" w:rsidRDefault="00221A2C" w:rsidP="00385CE3">
      <w:pPr>
        <w:pStyle w:val="NormalWeb"/>
        <w:spacing w:before="0" w:beforeAutospacing="0" w:after="0" w:afterAutospacing="0"/>
        <w:jc w:val="both"/>
        <w:rPr>
          <w:rFonts w:ascii="Times New Roman" w:hAnsi="Times New Roman" w:cs="Times New Roman"/>
          <w:color w:val="000000" w:themeColor="text1"/>
        </w:rPr>
      </w:pPr>
      <w:r w:rsidRPr="00BF5309">
        <w:rPr>
          <w:rFonts w:ascii="Times New Roman" w:hAnsi="Times New Roman" w:cs="Times New Roman"/>
          <w:color w:val="000000" w:themeColor="text1"/>
        </w:rPr>
        <w:t>This category includes other domestic revenues of financing schemes not included under transfers from government domestic revenue, and Transfers distributed by government from foreign, and Social insurance contributions, Voluntary prepayment sub-categories are defined according to the institutional units that provide the voluntary transfers:</w:t>
      </w:r>
    </w:p>
    <w:p w14:paraId="7A93C13E" w14:textId="77777777" w:rsidR="00221A2C" w:rsidRPr="00BF5309" w:rsidRDefault="00221A2C" w:rsidP="00A432A8">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revenu</w:t>
      </w:r>
      <w:r w:rsidR="00366E63" w:rsidRPr="00BF5309">
        <w:rPr>
          <w:rFonts w:eastAsia="Arial Unicode MS"/>
          <w:color w:val="000000" w:themeColor="text1"/>
        </w:rPr>
        <w:t>es from households</w:t>
      </w:r>
      <w:r w:rsidR="00A432A8" w:rsidRPr="00BF5309">
        <w:rPr>
          <w:rFonts w:eastAsia="Arial Unicode MS"/>
          <w:color w:val="000000" w:themeColor="text1"/>
          <w:lang w:val="en-GB"/>
        </w:rPr>
        <w:t xml:space="preserve"> that</w:t>
      </w:r>
      <w:r w:rsidR="00D126FB" w:rsidRPr="00BF5309">
        <w:rPr>
          <w:rFonts w:eastAsia="Arial Unicode MS" w:hint="cs"/>
          <w:color w:val="000000" w:themeColor="text1"/>
          <w:rtl/>
          <w:lang w:val="en-GB"/>
        </w:rPr>
        <w:t xml:space="preserve"> </w:t>
      </w:r>
      <w:r w:rsidR="00D126FB" w:rsidRPr="00BF5309">
        <w:rPr>
          <w:rFonts w:eastAsia="Arial Unicode MS"/>
          <w:color w:val="000000" w:themeColor="text1"/>
          <w:lang w:val="en-GB"/>
        </w:rPr>
        <w:t>are not</w:t>
      </w:r>
      <w:r w:rsidR="00A432A8" w:rsidRPr="00BF5309">
        <w:rPr>
          <w:rFonts w:eastAsia="Arial Unicode MS"/>
          <w:color w:val="000000" w:themeColor="text1"/>
          <w:lang w:val="en-GB"/>
        </w:rPr>
        <w:t xml:space="preserve"> classified</w:t>
      </w:r>
      <w:r w:rsidR="00D126FB" w:rsidRPr="00BF5309">
        <w:rPr>
          <w:rFonts w:eastAsia="Arial Unicode MS"/>
          <w:color w:val="000000" w:themeColor="text1"/>
          <w:lang w:val="en-GB"/>
        </w:rPr>
        <w:t xml:space="preserve"> </w:t>
      </w:r>
      <w:r w:rsidR="00A432A8" w:rsidRPr="00BF5309">
        <w:rPr>
          <w:rFonts w:eastAsia="Arial Unicode MS"/>
          <w:color w:val="000000" w:themeColor="text1"/>
          <w:lang w:val="en-GB"/>
        </w:rPr>
        <w:t xml:space="preserve">as </w:t>
      </w:r>
      <w:r w:rsidR="00D126FB" w:rsidRPr="00BF5309">
        <w:rPr>
          <w:rFonts w:eastAsia="Arial Unicode MS"/>
          <w:color w:val="000000" w:themeColor="text1"/>
          <w:lang w:val="en-GB"/>
        </w:rPr>
        <w:t>other items</w:t>
      </w:r>
      <w:r w:rsidR="00366E63" w:rsidRPr="00BF5309">
        <w:rPr>
          <w:rFonts w:eastAsia="Arial Unicode MS"/>
          <w:color w:val="000000" w:themeColor="text1"/>
        </w:rPr>
        <w:t>.</w:t>
      </w:r>
    </w:p>
    <w:p w14:paraId="11695FDD" w14:textId="77777777" w:rsidR="00A432A8" w:rsidRPr="00BF5309" w:rsidRDefault="00221A2C" w:rsidP="00385CE3">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w:t>
      </w:r>
      <w:r w:rsidR="00366E63" w:rsidRPr="00BF5309">
        <w:rPr>
          <w:rFonts w:eastAsia="Arial Unicode MS"/>
          <w:color w:val="000000" w:themeColor="text1"/>
        </w:rPr>
        <w:t>ther revenues from corporations</w:t>
      </w:r>
      <w:r w:rsidR="00D126FB"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that</w:t>
      </w:r>
      <w:r w:rsidR="00A432A8"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are not classified as other items</w:t>
      </w:r>
      <w:r w:rsidR="00A432A8" w:rsidRPr="00BF5309">
        <w:rPr>
          <w:rFonts w:eastAsia="Arial Unicode MS"/>
          <w:color w:val="000000" w:themeColor="text1"/>
        </w:rPr>
        <w:t>.</w:t>
      </w:r>
    </w:p>
    <w:p w14:paraId="128F49F9" w14:textId="77777777" w:rsidR="00221A2C" w:rsidRPr="00BF5309" w:rsidRDefault="00221A2C" w:rsidP="00A432A8">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revenues from non-profit institutions</w:t>
      </w:r>
      <w:r w:rsidR="00A432A8" w:rsidRPr="00BF5309">
        <w:rPr>
          <w:rFonts w:eastAsia="Arial Unicode MS"/>
          <w:color w:val="000000" w:themeColor="text1"/>
          <w:lang w:val="en-GB"/>
        </w:rPr>
        <w:t xml:space="preserve"> that</w:t>
      </w:r>
      <w:r w:rsidR="00A432A8"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are not classified as other items</w:t>
      </w:r>
      <w:r w:rsidR="00A432A8" w:rsidRPr="00BF5309">
        <w:rPr>
          <w:rFonts w:eastAsia="Arial Unicode MS"/>
          <w:color w:val="000000" w:themeColor="text1"/>
        </w:rPr>
        <w:t>.</w:t>
      </w:r>
    </w:p>
    <w:p w14:paraId="1E15A123" w14:textId="77777777" w:rsidR="00221A2C" w:rsidRPr="00BF5309" w:rsidRDefault="00221A2C" w:rsidP="00385CE3">
      <w:pPr>
        <w:pStyle w:val="NormalWeb"/>
        <w:spacing w:before="0" w:beforeAutospacing="0" w:after="0" w:afterAutospacing="0"/>
        <w:rPr>
          <w:rFonts w:ascii="Times New Roman" w:hAnsi="Times New Roman" w:cs="Times New Roman"/>
          <w:b/>
          <w:bCs/>
          <w:color w:val="000000" w:themeColor="text1"/>
          <w:sz w:val="16"/>
          <w:szCs w:val="16"/>
        </w:rPr>
      </w:pPr>
    </w:p>
    <w:p w14:paraId="3ED380B9"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Direct foreign transfers:</w:t>
      </w:r>
    </w:p>
    <w:p w14:paraId="52FE1E36"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The main ways that revenues from foreign entities directly (via transfers) received by health financing schemes may be transacted are:</w:t>
      </w:r>
    </w:p>
    <w:p w14:paraId="79D9D1C2" w14:textId="77777777" w:rsidR="00221A2C" w:rsidRPr="00BF5309" w:rsidRDefault="00221A2C" w:rsidP="00385CE3">
      <w:pPr>
        <w:pStyle w:val="ListParagraph"/>
        <w:numPr>
          <w:ilvl w:val="0"/>
          <w:numId w:val="8"/>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Direct foreign financial revenues earmarked for health. These revenues are usually grants by international agencies or foreign governments, or voluntary transfers (donations) by foreign NGOs or individuals that contribute directly to the funding of domestic health financing schemes;</w:t>
      </w:r>
    </w:p>
    <w:p w14:paraId="3450FF01" w14:textId="77777777" w:rsidR="00221A2C" w:rsidRDefault="00221A2C" w:rsidP="00385CE3">
      <w:pPr>
        <w:pStyle w:val="ListParagraph"/>
        <w:numPr>
          <w:ilvl w:val="0"/>
          <w:numId w:val="8"/>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Direct foreign aid in kind (health care goods and services).</w:t>
      </w:r>
    </w:p>
    <w:p w14:paraId="2253A933" w14:textId="77777777" w:rsidR="00BF5309" w:rsidRPr="00AB06E6" w:rsidRDefault="00BF5309" w:rsidP="00BF5309">
      <w:pPr>
        <w:pStyle w:val="ListParagraph"/>
        <w:autoSpaceDE w:val="0"/>
        <w:autoSpaceDN w:val="0"/>
        <w:bidi w:val="0"/>
        <w:adjustRightInd w:val="0"/>
        <w:ind w:left="426"/>
        <w:jc w:val="both"/>
        <w:rPr>
          <w:rFonts w:eastAsia="Arial Unicode MS"/>
          <w:color w:val="000000" w:themeColor="text1"/>
        </w:rPr>
      </w:pPr>
    </w:p>
    <w:p w14:paraId="7E8EC937" w14:textId="77777777" w:rsidR="00221A2C" w:rsidRPr="00A528FD" w:rsidRDefault="002376A8" w:rsidP="00EA7B58">
      <w:pPr>
        <w:pStyle w:val="NormalWeb"/>
        <w:spacing w:before="0" w:beforeAutospacing="0" w:after="0" w:afterAutospacing="0"/>
        <w:rPr>
          <w:rFonts w:ascii="Times New Roman" w:hAnsi="Times New Roman" w:cs="Times New Roman"/>
          <w:b/>
          <w:bCs/>
          <w:color w:val="000000" w:themeColor="text1"/>
        </w:rPr>
      </w:pPr>
      <w:r w:rsidRPr="00A528FD">
        <w:rPr>
          <w:rFonts w:ascii="Times New Roman" w:hAnsi="Times New Roman" w:cs="Times New Roman"/>
          <w:b/>
          <w:bCs/>
          <w:color w:val="000000" w:themeColor="text1"/>
        </w:rPr>
        <w:t xml:space="preserve">1.1.5 </w:t>
      </w:r>
      <w:r>
        <w:rPr>
          <w:rFonts w:ascii="Times New Roman" w:hAnsi="Times New Roman" w:cs="Times New Roman"/>
          <w:b/>
          <w:bCs/>
          <w:color w:val="000000" w:themeColor="text1"/>
        </w:rPr>
        <w:t>Concepts</w:t>
      </w:r>
      <w:r w:rsidR="00EA7B58" w:rsidRPr="00EA7B58">
        <w:rPr>
          <w:rFonts w:ascii="Times New Roman" w:hAnsi="Times New Roman" w:cs="Times New Roman"/>
          <w:b/>
          <w:bCs/>
          <w:color w:val="000000" w:themeColor="text1"/>
        </w:rPr>
        <w:t xml:space="preserve"> </w:t>
      </w:r>
      <w:r w:rsidR="00221A2C" w:rsidRPr="00A528FD">
        <w:rPr>
          <w:rFonts w:ascii="Times New Roman" w:hAnsi="Times New Roman" w:cs="Times New Roman"/>
          <w:b/>
          <w:bCs/>
          <w:color w:val="000000" w:themeColor="text1"/>
        </w:rPr>
        <w:t>of Health Care</w:t>
      </w:r>
      <w:r w:rsidR="006627BA">
        <w:rPr>
          <w:rFonts w:ascii="Times New Roman" w:hAnsi="Times New Roman" w:cs="Times New Roman"/>
          <w:b/>
          <w:bCs/>
          <w:color w:val="000000" w:themeColor="text1"/>
        </w:rPr>
        <w:t>'s</w:t>
      </w:r>
      <w:r w:rsidR="006627BA" w:rsidRPr="006627BA">
        <w:rPr>
          <w:rFonts w:ascii="Times New Roman" w:hAnsi="Times New Roman" w:cs="Times New Roman"/>
          <w:b/>
          <w:bCs/>
          <w:color w:val="000000" w:themeColor="text1"/>
        </w:rPr>
        <w:t xml:space="preserve"> </w:t>
      </w:r>
      <w:r w:rsidR="006627BA" w:rsidRPr="00A528FD">
        <w:rPr>
          <w:rFonts w:ascii="Times New Roman" w:hAnsi="Times New Roman" w:cs="Times New Roman"/>
          <w:b/>
          <w:bCs/>
          <w:color w:val="000000" w:themeColor="text1"/>
        </w:rPr>
        <w:t>Functions</w:t>
      </w:r>
    </w:p>
    <w:p w14:paraId="46CA2BF4"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55051BE9"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Curative care services:</w:t>
      </w:r>
    </w:p>
    <w:p w14:paraId="400CA58B" w14:textId="77777777" w:rsidR="00221A2C"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Curative care comprises health care contacts during which the principal intent is to relieve symptoms of illness or injury, to reduce the severity of an illness or injury, or to protect against exacerbation and/or complication of an illness and/or injury that could threaten life or normal function.</w:t>
      </w:r>
    </w:p>
    <w:p w14:paraId="40378E8D" w14:textId="77777777" w:rsidR="00C36779" w:rsidRPr="00C36779" w:rsidRDefault="00C36779" w:rsidP="00385CE3">
      <w:pPr>
        <w:autoSpaceDE w:val="0"/>
        <w:autoSpaceDN w:val="0"/>
        <w:bidi w:val="0"/>
        <w:adjustRightInd w:val="0"/>
        <w:jc w:val="both"/>
        <w:rPr>
          <w:rFonts w:eastAsia="Arial Unicode MS"/>
          <w:color w:val="000000" w:themeColor="text1"/>
          <w:sz w:val="14"/>
          <w:szCs w:val="14"/>
        </w:rPr>
      </w:pPr>
    </w:p>
    <w:p w14:paraId="2E6494E2" w14:textId="77777777" w:rsidR="00221A2C" w:rsidRPr="00A528FD" w:rsidRDefault="002376A8"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Contact</w:t>
      </w:r>
      <w:r w:rsidR="00221A2C" w:rsidRPr="00A528FD">
        <w:rPr>
          <w:rFonts w:eastAsia="Arial Unicode MS"/>
          <w:color w:val="000000" w:themeColor="text1"/>
        </w:rPr>
        <w:t xml:space="preserve"> for curative care comprises an individual contact with the health system and can be made up of a sequence of components, such as to establish a diagnosis, to formulate a </w:t>
      </w:r>
      <w:r w:rsidR="00221A2C" w:rsidRPr="00A528FD">
        <w:rPr>
          <w:rFonts w:eastAsia="Arial Unicode MS"/>
          <w:color w:val="000000" w:themeColor="text1"/>
        </w:rPr>
        <w:lastRenderedPageBreak/>
        <w:t>prescription and therapeutic plan, to monitor and assess the clinical evolution or to complement the process by imaging, laboratory and functional tests for diagnosis and evolution assessment. The contact can also include various therapeutic means such as pharmaceuticals and other medical goods (e.g. such as glasses, and prosthetic appliances, such as artificial teeth or limbs), as well as therapeutic procedures, such as surgical procedures, which require additional follow-up. Routine administrative procedures such as completing and updating patient records are also an integral part of the service.</w:t>
      </w:r>
    </w:p>
    <w:p w14:paraId="63B07DE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04DA5ADD"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Inpatient curative care:</w:t>
      </w:r>
    </w:p>
    <w:p w14:paraId="47DC8B41"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Inpatient curative care comprises medical and paramedical services delivered to inpatients during an episode of curative care for an admitted patient.</w:t>
      </w:r>
    </w:p>
    <w:p w14:paraId="72D71494"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403D550C"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Outpatient curative care:</w:t>
      </w:r>
    </w:p>
    <w:p w14:paraId="0BF47AC4"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Outpatient curative care comprises medical and paramedical services delivered to outpatients during an episode of curative care. Outpatient health care comprises mainly services delivered to outpatients by physicians in establishments of the ambulatory health care industry. Outpatients may also be treated in establishments of the hospital industry, for example, in specialized outpatient wards, and in community or other integrated care facilities.</w:t>
      </w:r>
    </w:p>
    <w:p w14:paraId="3D1656AB" w14:textId="77777777" w:rsidR="00221A2C" w:rsidRPr="00A528FD" w:rsidRDefault="00221A2C" w:rsidP="00385CE3">
      <w:pPr>
        <w:pStyle w:val="NormalWeb"/>
        <w:spacing w:before="0" w:beforeAutospacing="0" w:after="0" w:afterAutospacing="0"/>
        <w:ind w:left="-540"/>
        <w:jc w:val="both"/>
        <w:rPr>
          <w:rFonts w:ascii="Times New Roman" w:hAnsi="Times New Roman" w:cs="Times New Roman"/>
          <w:b/>
          <w:bCs/>
          <w:color w:val="000000" w:themeColor="text1"/>
          <w:sz w:val="16"/>
          <w:szCs w:val="16"/>
        </w:rPr>
      </w:pPr>
    </w:p>
    <w:p w14:paraId="1D07B112" w14:textId="77777777" w:rsidR="00221A2C" w:rsidRPr="00A528FD" w:rsidRDefault="00502B42" w:rsidP="00385CE3">
      <w:pPr>
        <w:pStyle w:val="NormalWeb"/>
        <w:spacing w:before="0" w:beforeAutospacing="0" w:after="0" w:afterAutospacing="0"/>
        <w:jc w:val="both"/>
        <w:rPr>
          <w:rFonts w:ascii="Times New Roman" w:hAnsi="Times New Roman" w:cs="Times New Roman"/>
          <w:color w:val="000000" w:themeColor="text1"/>
        </w:rPr>
      </w:pPr>
      <w:r>
        <w:rPr>
          <w:rFonts w:ascii="Times New Roman" w:hAnsi="Times New Roman" w:cs="Times New Roman"/>
          <w:b/>
          <w:bCs/>
          <w:color w:val="000000" w:themeColor="text1"/>
        </w:rPr>
        <w:t>D</w:t>
      </w:r>
      <w:r w:rsidR="00221A2C" w:rsidRPr="00A528FD">
        <w:rPr>
          <w:rFonts w:ascii="Times New Roman" w:hAnsi="Times New Roman" w:cs="Times New Roman"/>
          <w:b/>
          <w:bCs/>
          <w:color w:val="000000" w:themeColor="text1"/>
        </w:rPr>
        <w:t>ental Outpatient curative care:</w:t>
      </w:r>
    </w:p>
    <w:p w14:paraId="4B20B5F0" w14:textId="77777777" w:rsidR="00221A2C" w:rsidRPr="00A528FD" w:rsidRDefault="00221A2C" w:rsidP="00385CE3">
      <w:pPr>
        <w:bidi w:val="0"/>
        <w:jc w:val="both"/>
        <w:rPr>
          <w:color w:val="000000" w:themeColor="text1"/>
        </w:rPr>
      </w:pPr>
      <w:r w:rsidRPr="00A528FD">
        <w:rPr>
          <w:color w:val="000000" w:themeColor="text1"/>
        </w:rPr>
        <w:t>This item comprises dental medical services (including dental prosthesis) provided to outpatients by physicians. It includes the whole range of services performed usually by medical specialists of dental care, in an outpatient setting such as tooth extraction, fitting of dental prosthesis, and dental implants.</w:t>
      </w:r>
    </w:p>
    <w:p w14:paraId="40F08D15" w14:textId="77777777" w:rsidR="00221A2C" w:rsidRPr="00A528FD" w:rsidRDefault="00221A2C" w:rsidP="00385CE3">
      <w:pPr>
        <w:bidi w:val="0"/>
        <w:ind w:hanging="540"/>
        <w:jc w:val="both"/>
        <w:rPr>
          <w:b/>
          <w:bCs/>
          <w:color w:val="000000" w:themeColor="text1"/>
          <w:sz w:val="16"/>
          <w:szCs w:val="16"/>
        </w:rPr>
      </w:pPr>
    </w:p>
    <w:p w14:paraId="676130C0" w14:textId="77777777" w:rsidR="00221A2C" w:rsidRPr="00A528FD" w:rsidRDefault="00221A2C" w:rsidP="00385CE3">
      <w:pPr>
        <w:bidi w:val="0"/>
        <w:jc w:val="both"/>
        <w:rPr>
          <w:b/>
          <w:bCs/>
          <w:color w:val="000000" w:themeColor="text1"/>
        </w:rPr>
      </w:pPr>
      <w:r w:rsidRPr="00A528FD">
        <w:rPr>
          <w:b/>
          <w:bCs/>
          <w:color w:val="000000" w:themeColor="text1"/>
        </w:rPr>
        <w:t>All other specialized health care:</w:t>
      </w:r>
    </w:p>
    <w:p w14:paraId="16981297" w14:textId="77777777" w:rsidR="00221A2C" w:rsidRPr="00A528FD" w:rsidRDefault="00221A2C" w:rsidP="00385CE3">
      <w:pPr>
        <w:bidi w:val="0"/>
        <w:jc w:val="both"/>
        <w:rPr>
          <w:color w:val="000000" w:themeColor="text1"/>
        </w:rPr>
      </w:pPr>
      <w:r w:rsidRPr="00A528FD">
        <w:rPr>
          <w:color w:val="000000" w:themeColor="text1"/>
        </w:rPr>
        <w:t>This item comprises all specialized medical services provided to outpatients by physicians other than basic medical and diagnostic services and dental care. Included are mental health, substance abuse therapy and outpatient surgery.</w:t>
      </w:r>
    </w:p>
    <w:p w14:paraId="630DE05A" w14:textId="77777777" w:rsidR="00221A2C" w:rsidRPr="00A528FD" w:rsidRDefault="00221A2C" w:rsidP="00385CE3">
      <w:pPr>
        <w:bidi w:val="0"/>
        <w:jc w:val="both"/>
        <w:rPr>
          <w:b/>
          <w:bCs/>
          <w:color w:val="000000" w:themeColor="text1"/>
          <w:sz w:val="16"/>
          <w:szCs w:val="16"/>
        </w:rPr>
      </w:pPr>
    </w:p>
    <w:p w14:paraId="2664D110" w14:textId="77777777" w:rsidR="00221A2C" w:rsidRPr="00A528FD" w:rsidRDefault="00221A2C" w:rsidP="00385CE3">
      <w:pPr>
        <w:bidi w:val="0"/>
        <w:jc w:val="both"/>
        <w:rPr>
          <w:b/>
          <w:bCs/>
          <w:color w:val="000000" w:themeColor="text1"/>
        </w:rPr>
      </w:pPr>
      <w:r w:rsidRPr="00A528FD">
        <w:rPr>
          <w:b/>
          <w:bCs/>
          <w:color w:val="000000" w:themeColor="text1"/>
        </w:rPr>
        <w:t>Rehabilitative care:</w:t>
      </w:r>
    </w:p>
    <w:p w14:paraId="04B509AA" w14:textId="77777777" w:rsidR="00221A2C" w:rsidRPr="00A528FD" w:rsidRDefault="00221A2C" w:rsidP="00385CE3">
      <w:pPr>
        <w:autoSpaceDE w:val="0"/>
        <w:autoSpaceDN w:val="0"/>
        <w:bidi w:val="0"/>
        <w:adjustRightInd w:val="0"/>
        <w:jc w:val="both"/>
        <w:rPr>
          <w:color w:val="000000" w:themeColor="text1"/>
        </w:rPr>
      </w:pPr>
      <w:r w:rsidRPr="00A528FD">
        <w:rPr>
          <w:color w:val="000000" w:themeColor="text1"/>
        </w:rPr>
        <w:t>Rehabilitation is an integrative strategy that aims at empowering persons with health conditions who are experiencing or are likely to experience disability so that they can achieve and maintain optimal functioning, a decent quality of life and inclusion in the community and society.</w:t>
      </w:r>
    </w:p>
    <w:p w14:paraId="304070BC" w14:textId="77777777" w:rsidR="00221A2C" w:rsidRPr="00A528FD" w:rsidRDefault="00221A2C" w:rsidP="00385CE3">
      <w:pPr>
        <w:autoSpaceDE w:val="0"/>
        <w:autoSpaceDN w:val="0"/>
        <w:bidi w:val="0"/>
        <w:adjustRightInd w:val="0"/>
        <w:jc w:val="both"/>
        <w:rPr>
          <w:color w:val="000000" w:themeColor="text1"/>
          <w:sz w:val="16"/>
          <w:szCs w:val="16"/>
        </w:rPr>
      </w:pPr>
    </w:p>
    <w:p w14:paraId="3331BC0E" w14:textId="77777777" w:rsidR="00221A2C" w:rsidRPr="00A528FD" w:rsidRDefault="002376A8" w:rsidP="00385CE3">
      <w:pPr>
        <w:bidi w:val="0"/>
        <w:jc w:val="both"/>
        <w:rPr>
          <w:b/>
          <w:bCs/>
          <w:color w:val="000000" w:themeColor="text1"/>
        </w:rPr>
      </w:pPr>
      <w:r w:rsidRPr="00A528FD">
        <w:rPr>
          <w:b/>
          <w:bCs/>
          <w:color w:val="000000" w:themeColor="text1"/>
        </w:rPr>
        <w:t>Long-term</w:t>
      </w:r>
      <w:r w:rsidR="00221A2C" w:rsidRPr="00A528FD">
        <w:rPr>
          <w:b/>
          <w:bCs/>
          <w:color w:val="000000" w:themeColor="text1"/>
        </w:rPr>
        <w:t xml:space="preserve"> care:</w:t>
      </w:r>
    </w:p>
    <w:p w14:paraId="1608442C" w14:textId="77777777" w:rsidR="00221A2C" w:rsidRPr="00A528FD" w:rsidRDefault="00221A2C" w:rsidP="00385CE3">
      <w:pPr>
        <w:autoSpaceDE w:val="0"/>
        <w:autoSpaceDN w:val="0"/>
        <w:bidi w:val="0"/>
        <w:adjustRightInd w:val="0"/>
        <w:jc w:val="both"/>
        <w:rPr>
          <w:color w:val="000000" w:themeColor="text1"/>
        </w:rPr>
      </w:pPr>
      <w:r w:rsidRPr="00A528FD">
        <w:rPr>
          <w:color w:val="000000" w:themeColor="text1"/>
        </w:rPr>
        <w:t>Long-term care (health) consists of a range of medical and personal care services that are consumed with the primary goal of alleviating pain and suffering and reducing or managing the deterioration in health status in patients with a degree of long -term dependency.</w:t>
      </w:r>
    </w:p>
    <w:p w14:paraId="562C12B7" w14:textId="77777777" w:rsidR="00221A2C" w:rsidRDefault="00221A2C" w:rsidP="00385CE3">
      <w:pPr>
        <w:autoSpaceDE w:val="0"/>
        <w:autoSpaceDN w:val="0"/>
        <w:bidi w:val="0"/>
        <w:adjustRightInd w:val="0"/>
        <w:jc w:val="both"/>
        <w:rPr>
          <w:color w:val="000000" w:themeColor="text1"/>
          <w:sz w:val="16"/>
          <w:szCs w:val="16"/>
          <w:rtl/>
        </w:rPr>
      </w:pPr>
    </w:p>
    <w:p w14:paraId="73D6E24D" w14:textId="77777777" w:rsidR="00221A2C" w:rsidRPr="00A528FD" w:rsidRDefault="00221A2C" w:rsidP="00385CE3">
      <w:pPr>
        <w:bidi w:val="0"/>
        <w:jc w:val="both"/>
        <w:rPr>
          <w:b/>
          <w:bCs/>
          <w:color w:val="000000" w:themeColor="text1"/>
        </w:rPr>
      </w:pPr>
      <w:r w:rsidRPr="00A528FD">
        <w:rPr>
          <w:b/>
          <w:bCs/>
          <w:color w:val="000000" w:themeColor="text1"/>
        </w:rPr>
        <w:t>Ancillary services:</w:t>
      </w:r>
    </w:p>
    <w:p w14:paraId="15B48C6D" w14:textId="77777777" w:rsidR="00221A2C" w:rsidRPr="00A528FD" w:rsidRDefault="00221A2C" w:rsidP="00385CE3">
      <w:pPr>
        <w:autoSpaceDE w:val="0"/>
        <w:autoSpaceDN w:val="0"/>
        <w:bidi w:val="0"/>
        <w:adjustRightInd w:val="0"/>
        <w:jc w:val="both"/>
        <w:rPr>
          <w:color w:val="000000" w:themeColor="text1"/>
        </w:rPr>
      </w:pPr>
      <w:r w:rsidRPr="00A528FD">
        <w:rPr>
          <w:color w:val="000000" w:themeColor="text1"/>
        </w:rPr>
        <w:t xml:space="preserve">Ancillary services are frequently an integral part of a package of services whose purpose is related to diagnosis and monitoring. Ancillary services do not, therefore, have a purpose in themselves: the purpose is to be cured, to prevent disease, etc. The ancillary service is aggregated within the first-digit purpose class and the second-digit </w:t>
      </w:r>
      <w:proofErr w:type="spellStart"/>
      <w:r w:rsidRPr="00A528FD">
        <w:rPr>
          <w:color w:val="000000" w:themeColor="text1"/>
        </w:rPr>
        <w:t>MoP</w:t>
      </w:r>
      <w:proofErr w:type="spellEnd"/>
      <w:r w:rsidRPr="00A528FD">
        <w:rPr>
          <w:color w:val="000000" w:themeColor="text1"/>
        </w:rPr>
        <w:t xml:space="preserve"> in which it was consumed.</w:t>
      </w:r>
    </w:p>
    <w:p w14:paraId="4A7BED2A"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0F464D9C"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goods:</w:t>
      </w:r>
    </w:p>
    <w:p w14:paraId="171C1BFC" w14:textId="77777777" w:rsidR="00221A2C" w:rsidRPr="00A528FD" w:rsidRDefault="00221A2C" w:rsidP="00F65CEC">
      <w:pPr>
        <w:autoSpaceDE w:val="0"/>
        <w:autoSpaceDN w:val="0"/>
        <w:bidi w:val="0"/>
        <w:adjustRightInd w:val="0"/>
        <w:jc w:val="both"/>
      </w:pPr>
      <w:r w:rsidRPr="00A528FD">
        <w:rPr>
          <w:rFonts w:eastAsia="Arial Unicode MS"/>
          <w:color w:val="000000" w:themeColor="text1"/>
        </w:rPr>
        <w:t>Medical goods are broken down at the second level into pharmaceuticals and other medical non-</w:t>
      </w:r>
      <w:r w:rsidR="002376A8" w:rsidRPr="00A528FD">
        <w:rPr>
          <w:rFonts w:eastAsia="Arial Unicode MS"/>
          <w:color w:val="000000" w:themeColor="text1"/>
        </w:rPr>
        <w:t>durables and</w:t>
      </w:r>
      <w:r w:rsidRPr="00A528FD">
        <w:rPr>
          <w:rFonts w:eastAsia="Arial Unicode MS"/>
          <w:color w:val="000000" w:themeColor="text1"/>
        </w:rPr>
        <w:t xml:space="preserve"> therapeutic appliances and other medical goods. The medical goods include medical goods acquired by the beneficiary either as a result of prescription following a health system contact or as a result of self-prescription. And exclude: medical goods consumed or delivered during a health care contact that are</w:t>
      </w:r>
      <w:r w:rsidR="00F65CEC">
        <w:rPr>
          <w:rFonts w:eastAsia="Arial Unicode MS"/>
          <w:color w:val="000000" w:themeColor="text1"/>
        </w:rPr>
        <w:t xml:space="preserve"> </w:t>
      </w:r>
      <w:r w:rsidRPr="00A528FD">
        <w:t>prescribed by a health professional.</w:t>
      </w:r>
    </w:p>
    <w:p w14:paraId="2C6A62DF"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lastRenderedPageBreak/>
        <w:t>Preventive care:</w:t>
      </w:r>
    </w:p>
    <w:p w14:paraId="085FD411"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Prevention is any measure that aims to avoid or reduce the number or the severity of injuries and diseases, their sequel and complications (</w:t>
      </w:r>
      <w:proofErr w:type="spellStart"/>
      <w:r w:rsidRPr="00A528FD">
        <w:rPr>
          <w:rFonts w:eastAsia="Arial Unicode MS"/>
          <w:color w:val="000000" w:themeColor="text1"/>
        </w:rPr>
        <w:t>Pomey</w:t>
      </w:r>
      <w:proofErr w:type="spellEnd"/>
      <w:r w:rsidRPr="00A528FD">
        <w:rPr>
          <w:rFonts w:eastAsia="Arial Unicode MS"/>
          <w:color w:val="000000" w:themeColor="text1"/>
        </w:rPr>
        <w:t xml:space="preserve"> et al., 2000). Prevention is based on a health promotion strategy that involves a process to enable people to improve their health through the control over some of its immediate determinants. This includes a wide range of expected outcomes, which are covered through a diversity of interventions, </w:t>
      </w:r>
      <w:r w:rsidR="002376A8" w:rsidRPr="00A528FD">
        <w:rPr>
          <w:rFonts w:eastAsia="Arial Unicode MS"/>
          <w:color w:val="000000" w:themeColor="text1"/>
        </w:rPr>
        <w:t>organized</w:t>
      </w:r>
      <w:r w:rsidRPr="00A528FD">
        <w:rPr>
          <w:rFonts w:eastAsia="Arial Unicode MS"/>
          <w:color w:val="000000" w:themeColor="text1"/>
        </w:rPr>
        <w:t xml:space="preserve"> as primary, secondary and tertiary prevention levels.</w:t>
      </w:r>
    </w:p>
    <w:p w14:paraId="5F57357D"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sz w:val="16"/>
          <w:szCs w:val="16"/>
        </w:rPr>
      </w:pPr>
    </w:p>
    <w:p w14:paraId="2FABE7C9"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Governance, and health system and financing administration:</w:t>
      </w:r>
    </w:p>
    <w:p w14:paraId="70E7C8A8" w14:textId="77777777" w:rsidR="00221A2C"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services focus on the health system rather than direct health care, and are considered to be collective, as they are not allocated to specific individuals but benefit all health system users. They direct and support health system functioning. These services are expected to maintain and increase the effectiveness and efficiency of the health system and may enhance its equity.</w:t>
      </w:r>
    </w:p>
    <w:p w14:paraId="0709CF8B"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expenditures are incurred mostly but not exclusively by governments. Included are the formulation and administration of government policy; the setting of standards; the regulation, licensing or supervision of producers; management of the fund collection; and the administration, monitoring and evaluation of such resources, etc. However, some of these services are also provided by private entities, including by civil society (NGOs) and private medical insurance.</w:t>
      </w:r>
    </w:p>
    <w:p w14:paraId="1E6BBA60"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25D9B52A" w14:textId="77777777" w:rsidR="00221A2C" w:rsidRPr="00A528FD" w:rsidRDefault="00221A2C" w:rsidP="00385CE3">
      <w:pPr>
        <w:pStyle w:val="NormalWeb"/>
        <w:tabs>
          <w:tab w:val="right" w:pos="-540"/>
        </w:tabs>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Reporting items/memorandum items of health care:</w:t>
      </w:r>
    </w:p>
    <w:p w14:paraId="2C07E041"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Other approaches (e.g. the type of care: modern or traditional; or the type of component: physical examination, procedures performed, laboratory analysis) may also be relevant for decision-making. In addition, important components of the </w:t>
      </w:r>
      <w:proofErr w:type="spellStart"/>
      <w:r w:rsidRPr="00A528FD">
        <w:rPr>
          <w:rFonts w:eastAsia="Arial Unicode MS"/>
          <w:color w:val="000000" w:themeColor="text1"/>
        </w:rPr>
        <w:t>programme</w:t>
      </w:r>
      <w:proofErr w:type="spellEnd"/>
      <w:r w:rsidRPr="00A528FD">
        <w:rPr>
          <w:rFonts w:eastAsia="Arial Unicode MS"/>
          <w:color w:val="000000" w:themeColor="text1"/>
        </w:rPr>
        <w:t xml:space="preserve"> and intervention may go beyond the health care boundary and involve non-health activities (e.g. rehabilitation and long-term care involve health and social services). Therefore, components of health expenditure identified using different approaches and the reporting of components that lie beyond the health care boundary are targeted through two different memorandum categories. These are termed reporting items and health care-related classes, respectively.</w:t>
      </w:r>
    </w:p>
    <w:p w14:paraId="4532E8D7" w14:textId="77777777" w:rsidR="00221A2C" w:rsidRPr="00AB06E6" w:rsidRDefault="00221A2C" w:rsidP="00385CE3">
      <w:pPr>
        <w:pStyle w:val="NormalWeb"/>
        <w:tabs>
          <w:tab w:val="right" w:pos="-540"/>
        </w:tabs>
        <w:spacing w:before="0" w:beforeAutospacing="0" w:after="0" w:afterAutospacing="0"/>
        <w:jc w:val="both"/>
        <w:rPr>
          <w:rFonts w:ascii="Times New Roman" w:hAnsi="Times New Roman" w:cs="Times New Roman"/>
          <w:b/>
          <w:bCs/>
          <w:color w:val="000000" w:themeColor="text1"/>
        </w:rPr>
      </w:pPr>
    </w:p>
    <w:p w14:paraId="4D1B6808" w14:textId="77777777" w:rsidR="00221A2C" w:rsidRPr="00A528FD" w:rsidRDefault="00237B34" w:rsidP="00EA7B58">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.6 </w:t>
      </w:r>
      <w:r w:rsidR="00EA7B58" w:rsidRPr="00EA7B58">
        <w:rPr>
          <w:rFonts w:ascii="Times New Roman" w:hAnsi="Times New Roman" w:cs="Times New Roman"/>
          <w:b/>
          <w:bCs/>
          <w:color w:val="000000" w:themeColor="text1"/>
        </w:rPr>
        <w:t xml:space="preserve">Concepts </w:t>
      </w:r>
      <w:r w:rsidR="00221A2C" w:rsidRPr="00A528FD">
        <w:rPr>
          <w:rFonts w:ascii="Times New Roman" w:hAnsi="Times New Roman" w:cs="Times New Roman"/>
          <w:b/>
          <w:bCs/>
          <w:color w:val="000000" w:themeColor="text1"/>
        </w:rPr>
        <w:t>of Health Care Providers</w:t>
      </w:r>
    </w:p>
    <w:p w14:paraId="2F72D246" w14:textId="77777777" w:rsidR="00221A2C" w:rsidRPr="00AB06E6"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u w:val="single"/>
        </w:rPr>
      </w:pPr>
    </w:p>
    <w:p w14:paraId="62F9995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Hospitals:</w:t>
      </w:r>
    </w:p>
    <w:p w14:paraId="1C7BF373"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Licensed establishments primarily engaged in providing medical, diagnostic, and treatment services that include physicians, nursing, and other health services to inpatients and including specialized accommodation services. Hospitals may also provide outpatient services as a secondary activity. Hospitals provide inpatient health services, many of which can only be provided using the specialized facilities and equipment that form a significant and integral part of the production process. In some countries, health facilities need to meet minimal requirements (such as number of beds) in order to be registered as a hospital.</w:t>
      </w:r>
    </w:p>
    <w:p w14:paraId="5A3744A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15511475"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General hospital</w:t>
      </w:r>
      <w:r w:rsidR="00F06173"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14:paraId="628A8DEA"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Licensed establishments that are primarily engaged in providing general diagnostic and medical treatment (both surgical and non-surgical) to inpatients with a wide variety of medical conditions. These establishments may provide other services, such as outpatient services, anatomical pathology services, diagnostic X-ray services, clinical laboratory services or operating room services for a variety of procedures and/or pharmacy services, that are usually used by internal patients (intermediate outputs within the hospital treatment) but also by outside patients.</w:t>
      </w:r>
    </w:p>
    <w:p w14:paraId="787339CC"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777D479C" w14:textId="77777777" w:rsidR="000240B5" w:rsidRDefault="000240B5" w:rsidP="00385CE3">
      <w:pPr>
        <w:pStyle w:val="NormalWeb"/>
        <w:spacing w:before="0" w:beforeAutospacing="0" w:after="0" w:afterAutospacing="0"/>
        <w:jc w:val="both"/>
        <w:rPr>
          <w:rFonts w:ascii="Times New Roman" w:hAnsi="Times New Roman" w:cs="Times New Roman"/>
          <w:b/>
          <w:bCs/>
          <w:color w:val="000000" w:themeColor="text1"/>
        </w:rPr>
      </w:pPr>
    </w:p>
    <w:p w14:paraId="1C31194B" w14:textId="77777777" w:rsidR="005F11BC" w:rsidRDefault="005F11BC" w:rsidP="00385CE3">
      <w:pPr>
        <w:pStyle w:val="NormalWeb"/>
        <w:spacing w:before="0" w:beforeAutospacing="0" w:after="0" w:afterAutospacing="0"/>
        <w:jc w:val="both"/>
        <w:rPr>
          <w:rFonts w:ascii="Times New Roman" w:hAnsi="Times New Roman" w:cs="Times New Roman"/>
          <w:b/>
          <w:bCs/>
          <w:color w:val="000000" w:themeColor="text1"/>
          <w:rtl/>
        </w:rPr>
      </w:pPr>
    </w:p>
    <w:p w14:paraId="22A42232"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lastRenderedPageBreak/>
        <w:t>Mental health hospital</w:t>
      </w:r>
      <w:r w:rsidR="00894025"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14:paraId="0DC0AABD" w14:textId="77777777" w:rsidR="00221A2C" w:rsidRPr="00A528FD" w:rsidRDefault="00221A2C" w:rsidP="00385CE3">
      <w:pPr>
        <w:autoSpaceDE w:val="0"/>
        <w:autoSpaceDN w:val="0"/>
        <w:bidi w:val="0"/>
        <w:adjustRightInd w:val="0"/>
        <w:jc w:val="both"/>
        <w:rPr>
          <w:rFonts w:eastAsiaTheme="minorHAnsi"/>
          <w:color w:val="000000" w:themeColor="text1"/>
          <w:sz w:val="18"/>
          <w:szCs w:val="18"/>
          <w:lang w:eastAsia="en-US"/>
        </w:rPr>
      </w:pPr>
      <w:r w:rsidRPr="00A528FD">
        <w:rPr>
          <w:color w:val="000000" w:themeColor="text1"/>
        </w:rPr>
        <w:t xml:space="preserve">Licensed establishments primarily engaged in providing diagnostic and medical treatment and monitoring services to in patients who suffer from mental illness or substance abuse disorders. The treatment often requires an extended stay in an inpatient setting, including </w:t>
      </w:r>
      <w:proofErr w:type="spellStart"/>
      <w:r w:rsidRPr="00A528FD">
        <w:rPr>
          <w:color w:val="000000" w:themeColor="text1"/>
        </w:rPr>
        <w:t>hostelling</w:t>
      </w:r>
      <w:proofErr w:type="spellEnd"/>
      <w:r w:rsidRPr="00A528FD">
        <w:rPr>
          <w:color w:val="000000" w:themeColor="text1"/>
        </w:rPr>
        <w:t xml:space="preserve"> and nutritional facilities. To fulfill the complexity of these tasks, mental health hospitals usually provide services other than inpatient services, such as</w:t>
      </w:r>
      <w:r w:rsidRPr="00A528FD">
        <w:rPr>
          <w:rFonts w:eastAsiaTheme="minorHAnsi"/>
          <w:color w:val="000000" w:themeColor="text1"/>
          <w:sz w:val="18"/>
          <w:szCs w:val="18"/>
          <w:lang w:eastAsia="en-US"/>
        </w:rPr>
        <w:t xml:space="preserve"> </w:t>
      </w:r>
      <w:r w:rsidRPr="00A528FD">
        <w:rPr>
          <w:color w:val="000000" w:themeColor="text1"/>
        </w:rPr>
        <w:t>outpatient mental health care, clinical laboratory tests, diagnostic X-rays and</w:t>
      </w:r>
      <w:r w:rsidRPr="00A528FD">
        <w:rPr>
          <w:rFonts w:eastAsiaTheme="minorHAnsi"/>
          <w:color w:val="000000" w:themeColor="text1"/>
          <w:sz w:val="18"/>
          <w:szCs w:val="18"/>
          <w:lang w:eastAsia="en-US"/>
        </w:rPr>
        <w:t xml:space="preserve"> </w:t>
      </w:r>
      <w:r w:rsidRPr="00A528FD">
        <w:rPr>
          <w:color w:val="000000" w:themeColor="text1"/>
        </w:rPr>
        <w:t>electroencephalography services, which are often available for both internal and outside</w:t>
      </w:r>
      <w:r w:rsidRPr="00A528FD">
        <w:rPr>
          <w:rFonts w:eastAsiaTheme="minorHAnsi"/>
          <w:color w:val="000000" w:themeColor="text1"/>
          <w:sz w:val="18"/>
          <w:szCs w:val="18"/>
          <w:lang w:eastAsia="en-US"/>
        </w:rPr>
        <w:t xml:space="preserve"> </w:t>
      </w:r>
      <w:r w:rsidRPr="00A528FD">
        <w:rPr>
          <w:color w:val="000000" w:themeColor="text1"/>
        </w:rPr>
        <w:t>inpatients but also for outpatients. Mental health hospitals exclude community-based</w:t>
      </w:r>
      <w:r w:rsidRPr="00A528FD">
        <w:rPr>
          <w:rFonts w:eastAsiaTheme="minorHAnsi"/>
          <w:color w:val="000000" w:themeColor="text1"/>
          <w:sz w:val="18"/>
          <w:szCs w:val="18"/>
          <w:lang w:eastAsia="en-US"/>
        </w:rPr>
        <w:t xml:space="preserve"> </w:t>
      </w:r>
      <w:r w:rsidRPr="00A528FD">
        <w:rPr>
          <w:color w:val="000000" w:themeColor="text1"/>
        </w:rPr>
        <w:t>psychiatric inpatient units of general hospitals.</w:t>
      </w:r>
    </w:p>
    <w:p w14:paraId="3362CE95"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709BED4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Specialized (other than mental health and substance abuse) hospital:</w:t>
      </w:r>
    </w:p>
    <w:p w14:paraId="28EA19F4" w14:textId="77777777" w:rsidR="00221A2C" w:rsidRPr="00A528FD" w:rsidRDefault="00221A2C" w:rsidP="00385CE3">
      <w:pPr>
        <w:autoSpaceDE w:val="0"/>
        <w:autoSpaceDN w:val="0"/>
        <w:bidi w:val="0"/>
        <w:adjustRightInd w:val="0"/>
        <w:jc w:val="both"/>
        <w:rPr>
          <w:color w:val="000000" w:themeColor="text1"/>
        </w:rPr>
      </w:pPr>
      <w:r w:rsidRPr="00A528FD">
        <w:rPr>
          <w:color w:val="000000" w:themeColor="text1"/>
        </w:rPr>
        <w:t>Licensed establishments that are primarily engaged in providing diagnostic and medical treatment as well as monitoring services to inpatients with a specific type of disease or medical condition.</w:t>
      </w:r>
    </w:p>
    <w:p w14:paraId="37F26DCC" w14:textId="77777777" w:rsidR="00221A2C" w:rsidRPr="00A528FD" w:rsidRDefault="00221A2C" w:rsidP="00385CE3">
      <w:pPr>
        <w:autoSpaceDE w:val="0"/>
        <w:autoSpaceDN w:val="0"/>
        <w:bidi w:val="0"/>
        <w:adjustRightInd w:val="0"/>
        <w:jc w:val="both"/>
        <w:rPr>
          <w:color w:val="000000" w:themeColor="text1"/>
          <w:sz w:val="16"/>
          <w:szCs w:val="16"/>
        </w:rPr>
      </w:pPr>
    </w:p>
    <w:p w14:paraId="6A6B01E0"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Residential long-term care facilities:</w:t>
      </w:r>
    </w:p>
    <w:p w14:paraId="2633D541" w14:textId="77777777" w:rsidR="00221A2C" w:rsidRPr="00A528FD" w:rsidRDefault="00221A2C" w:rsidP="00385CE3">
      <w:pPr>
        <w:autoSpaceDE w:val="0"/>
        <w:autoSpaceDN w:val="0"/>
        <w:bidi w:val="0"/>
        <w:adjustRightInd w:val="0"/>
        <w:jc w:val="both"/>
        <w:rPr>
          <w:color w:val="000000" w:themeColor="text1"/>
        </w:rPr>
      </w:pPr>
      <w:r w:rsidRPr="00A528FD">
        <w:rPr>
          <w:color w:val="000000" w:themeColor="text1"/>
        </w:rPr>
        <w:t xml:space="preserve">The category of Residential long-term care facilities comprises establishments that are primarily engaged in providing residential long-term care that combines nursing, supervisory or other types of care as required by the residents. In these establishments, a significant part of the production process and the care provided is a mix of health and social services, with the health services being largely at the level of nursing care, in combination with personal care services. The medical components of care are, however, much less intensive than those provided in hospitals. </w:t>
      </w:r>
    </w:p>
    <w:p w14:paraId="2D88E127"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77325408"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practices:</w:t>
      </w:r>
    </w:p>
    <w:p w14:paraId="60CE9FF4" w14:textId="77777777" w:rsidR="00221A2C" w:rsidRPr="00A528FD" w:rsidRDefault="00221A2C" w:rsidP="00385CE3">
      <w:pPr>
        <w:autoSpaceDE w:val="0"/>
        <w:autoSpaceDN w:val="0"/>
        <w:bidi w:val="0"/>
        <w:adjustRightInd w:val="0"/>
        <w:jc w:val="both"/>
        <w:rPr>
          <w:color w:val="000000" w:themeColor="text1"/>
        </w:rPr>
      </w:pPr>
      <w:r w:rsidRPr="00A528FD">
        <w:rPr>
          <w:color w:val="000000" w:themeColor="text1"/>
        </w:rPr>
        <w:t>This subcategory comprises both offices of general medical practitioners and offices of medical specialists (other than dental practice) in which medical practitioners holding the degree of a doctor of medicine (Code 2210 ISCO-08) are primarily engaged in the independent practice of general or specialized medicine. This group also includes the practices of TCAM professionals with a corresponding medical education.</w:t>
      </w:r>
    </w:p>
    <w:p w14:paraId="71DB46F4"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043DED63"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b/>
          <w:bCs/>
          <w:color w:val="000000" w:themeColor="text1"/>
        </w:rPr>
        <w:t>Dental practice:</w:t>
      </w:r>
      <w:r w:rsidRPr="00A528FD">
        <w:rPr>
          <w:rFonts w:ascii="Times New Roman" w:hAnsi="Times New Roman" w:cs="Times New Roman"/>
          <w:color w:val="000000" w:themeColor="text1"/>
        </w:rPr>
        <w:t xml:space="preserve"> </w:t>
      </w:r>
    </w:p>
    <w:p w14:paraId="56C8B46C"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This item comprises establishments of health practitioners holding the degree of doctor of dental medicine or a qualification at a corresponding level primarily engaged in the independent practice of general or specialized dentistry or dental surgery. These practitioners operate independently or as part of group practices in their own offices or in the facilities of others, such as hospitals or HMO medical centers. They can provide either comprehensive preventive, cosmetic, or emergency care, or specialize in a single field of dentistry.</w:t>
      </w:r>
    </w:p>
    <w:p w14:paraId="6CBE7BAF" w14:textId="77777777" w:rsidR="001C2486" w:rsidRPr="00AB06E6" w:rsidRDefault="001C2486" w:rsidP="00385CE3">
      <w:pPr>
        <w:bidi w:val="0"/>
        <w:jc w:val="both"/>
        <w:rPr>
          <w:rFonts w:eastAsia="Arial Unicode MS"/>
          <w:b/>
          <w:bCs/>
          <w:color w:val="000000" w:themeColor="text1"/>
          <w:sz w:val="16"/>
          <w:szCs w:val="16"/>
        </w:rPr>
      </w:pPr>
    </w:p>
    <w:p w14:paraId="629BCA5B"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Other health care practitioners:</w:t>
      </w:r>
    </w:p>
    <w:p w14:paraId="0DAEE08D"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Establishments of independent health practitioners (other than physicians and dentists) such as chiropractors, optometrists, mental health specialists, physical, occupational, and speech therapists and audiologists primarily engaged in providing care to outpatients. These practitioners operate independently or as part of group practices in their own offices or in the facilities of others, such as hospitals or medical centers.</w:t>
      </w:r>
    </w:p>
    <w:p w14:paraId="08E92C6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7458770D"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Ambulatory health care centers:</w:t>
      </w:r>
    </w:p>
    <w:p w14:paraId="00DC2A8F"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Establishments primarily engaged in providing health care services directly to outpatients who do not require inpatient services. This includes establishments specialized in the treatment of day cases and in the delivery of home care services. Consequently, these establishments do not usually provide inpatient services. Health practitioners in ambulatory health care primarily and </w:t>
      </w:r>
      <w:r w:rsidRPr="00A528FD">
        <w:rPr>
          <w:rFonts w:ascii="Times New Roman" w:hAnsi="Times New Roman" w:cs="Times New Roman"/>
          <w:color w:val="000000" w:themeColor="text1"/>
        </w:rPr>
        <w:lastRenderedPageBreak/>
        <w:t>secondary provide services to patients visiting the health professional’s office, except for some pediatric and geriatric conditions.</w:t>
      </w:r>
    </w:p>
    <w:p w14:paraId="195954BE"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1314B79F"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ancillary services:</w:t>
      </w:r>
    </w:p>
    <w:p w14:paraId="1CD50F64" w14:textId="77777777" w:rsidR="00221A2C" w:rsidRPr="00A528FD" w:rsidRDefault="00B957F5" w:rsidP="00385CE3">
      <w:pPr>
        <w:pStyle w:val="NormalWeb"/>
        <w:spacing w:before="0" w:beforeAutospacing="0" w:after="0" w:afterAutospacing="0"/>
        <w:jc w:val="both"/>
        <w:rPr>
          <w:rFonts w:ascii="Times New Roman" w:hAnsi="Times New Roman" w:cs="Times New Roman"/>
          <w:color w:val="000000" w:themeColor="text1"/>
        </w:rPr>
      </w:pPr>
      <w:r>
        <w:rPr>
          <w:rFonts w:ascii="Times New Roman" w:hAnsi="Times New Roman" w:cs="Times New Roman"/>
          <w:color w:val="000000" w:themeColor="text1"/>
        </w:rPr>
        <w:t>Comprises establishments</w:t>
      </w:r>
      <w:r>
        <w:rPr>
          <w:rFonts w:ascii="Times New Roman" w:hAnsi="Times New Roman" w:cs="Times New Roman" w:hint="cs"/>
          <w:color w:val="000000" w:themeColor="text1"/>
          <w:rtl/>
        </w:rPr>
        <w:t xml:space="preserve"> </w:t>
      </w:r>
      <w:r w:rsidR="00221A2C" w:rsidRPr="00A528FD">
        <w:rPr>
          <w:rFonts w:ascii="Times New Roman" w:hAnsi="Times New Roman" w:cs="Times New Roman"/>
          <w:color w:val="000000" w:themeColor="text1"/>
        </w:rPr>
        <w:t>that provide specific ancillary type of services directly to outpatients under the supervision of health professionals and not covered within the episode of treatment by hospitals, nursing care facilities, ambulatory care providers or other providers. Included are providers of patient transportation and emergency rescue, medical and diagnostic laboratories, dental laboratories and other providers of ancillary services. These specialized providers may charge patients directly for their services rendered or may provide these ancillary services as benefits-in-kind under special service contracts.</w:t>
      </w:r>
    </w:p>
    <w:p w14:paraId="34BC292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3182EF95"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Retailers and other providers of medical goods:</w:t>
      </w:r>
    </w:p>
    <w:p w14:paraId="072DEA61"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They include establishments whose primary activity is the retail sale of medical goods to the general public for personal or household consumption or utilization, including fitting and repair done in combination with sale.</w:t>
      </w:r>
    </w:p>
    <w:p w14:paraId="078552C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20C4B18F"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preventive care:</w:t>
      </w:r>
    </w:p>
    <w:p w14:paraId="34DC8B50"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This category comprises organizations that primarily provide collective preventive </w:t>
      </w:r>
      <w:proofErr w:type="spellStart"/>
      <w:r w:rsidRPr="00A528FD">
        <w:rPr>
          <w:rFonts w:ascii="Times New Roman" w:hAnsi="Times New Roman" w:cs="Times New Roman"/>
          <w:color w:val="000000" w:themeColor="text1"/>
        </w:rPr>
        <w:t>programmes</w:t>
      </w:r>
      <w:proofErr w:type="spellEnd"/>
      <w:r w:rsidRPr="00A528FD">
        <w:rPr>
          <w:rFonts w:ascii="Times New Roman" w:hAnsi="Times New Roman" w:cs="Times New Roman"/>
          <w:color w:val="000000" w:themeColor="text1"/>
        </w:rPr>
        <w:t xml:space="preserve"> and campaigns/public health </w:t>
      </w:r>
      <w:proofErr w:type="spellStart"/>
      <w:r w:rsidRPr="00A528FD">
        <w:rPr>
          <w:rFonts w:ascii="Times New Roman" w:hAnsi="Times New Roman" w:cs="Times New Roman"/>
          <w:color w:val="000000" w:themeColor="text1"/>
        </w:rPr>
        <w:t>programmes</w:t>
      </w:r>
      <w:proofErr w:type="spellEnd"/>
      <w:r w:rsidRPr="00A528FD">
        <w:rPr>
          <w:rFonts w:ascii="Times New Roman" w:hAnsi="Times New Roman" w:cs="Times New Roman"/>
          <w:color w:val="000000" w:themeColor="text1"/>
        </w:rPr>
        <w:t xml:space="preserve"> for specific groups of individuals or the population-at-large, such as health promotion and protection agencies or public health institutes as well as </w:t>
      </w:r>
      <w:r w:rsidR="003D2EDC" w:rsidRPr="00A528FD">
        <w:rPr>
          <w:rFonts w:ascii="Times New Roman" w:hAnsi="Times New Roman" w:cs="Times New Roman"/>
          <w:color w:val="000000" w:themeColor="text1"/>
        </w:rPr>
        <w:t>specialized</w:t>
      </w:r>
      <w:r w:rsidRPr="00A528FD">
        <w:rPr>
          <w:rFonts w:ascii="Times New Roman" w:hAnsi="Times New Roman" w:cs="Times New Roman"/>
          <w:color w:val="000000" w:themeColor="text1"/>
        </w:rPr>
        <w:t xml:space="preserve"> establishments providing primary preventive care as their principal activity. This includes the promotion of healthy living conditions and lifestyles in schools by special outside health care professionals, agencies or organizations.</w:t>
      </w:r>
    </w:p>
    <w:p w14:paraId="0BD93B6B"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27C92E4F"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health care system administration and financing:</w:t>
      </w:r>
    </w:p>
    <w:p w14:paraId="6C0251E5" w14:textId="77777777" w:rsidR="00221A2C" w:rsidRPr="00A528FD" w:rsidRDefault="00221A2C" w:rsidP="003D2EDC">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item comprises establishments that are primarily engaged in the regulation of the activities of agencies that provide health care and in the overall administration of the health care sector, including the administration of health financing. While the former relates to the activities of government and its agencies in handling governance and managing the health care system as a whole, the latter reflects administration related to fund raising and purchasing health care goods and services by both public and private agents.</w:t>
      </w:r>
    </w:p>
    <w:p w14:paraId="300CA16F" w14:textId="77777777" w:rsidR="00221A2C" w:rsidRPr="00A528FD" w:rsidRDefault="00221A2C" w:rsidP="00385CE3">
      <w:pPr>
        <w:autoSpaceDE w:val="0"/>
        <w:autoSpaceDN w:val="0"/>
        <w:bidi w:val="0"/>
        <w:adjustRightInd w:val="0"/>
        <w:jc w:val="both"/>
        <w:rPr>
          <w:rFonts w:eastAsia="Arial Unicode MS"/>
          <w:color w:val="000000" w:themeColor="text1"/>
          <w:sz w:val="16"/>
          <w:szCs w:val="16"/>
        </w:rPr>
      </w:pPr>
    </w:p>
    <w:p w14:paraId="6F99FC75"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Rest of the economy:</w:t>
      </w:r>
    </w:p>
    <w:p w14:paraId="01770C3E"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industries not classified elsewhere that provide health care as secondary producers or other producers. Included are producers of occupational health care and home care provided by private households. It is include: Households as providers of home health care, </w:t>
      </w:r>
      <w:r w:rsidR="002376A8" w:rsidRPr="00A528FD">
        <w:rPr>
          <w:rFonts w:eastAsia="Arial Unicode MS"/>
          <w:color w:val="000000" w:themeColor="text1"/>
        </w:rPr>
        <w:t>all</w:t>
      </w:r>
      <w:r w:rsidRPr="00A528FD">
        <w:rPr>
          <w:rFonts w:eastAsia="Arial Unicode MS"/>
          <w:color w:val="000000" w:themeColor="text1"/>
        </w:rPr>
        <w:t xml:space="preserve"> other industries as secondary providers of health care, </w:t>
      </w:r>
      <w:r w:rsidR="002376A8" w:rsidRPr="00A528FD">
        <w:rPr>
          <w:rFonts w:eastAsia="Arial Unicode MS"/>
          <w:color w:val="000000" w:themeColor="text1"/>
        </w:rPr>
        <w:t>other</w:t>
      </w:r>
      <w:r w:rsidRPr="00A528FD">
        <w:rPr>
          <w:rFonts w:eastAsia="Arial Unicode MS"/>
          <w:color w:val="000000" w:themeColor="text1"/>
        </w:rPr>
        <w:t xml:space="preserve"> industries </w:t>
      </w:r>
      <w:r w:rsidR="002376A8" w:rsidRPr="00A528FD">
        <w:rPr>
          <w:rFonts w:eastAsia="Arial Unicode MS"/>
          <w:color w:val="000000" w:themeColor="text1"/>
        </w:rPr>
        <w:t>i.e.</w:t>
      </w:r>
    </w:p>
    <w:p w14:paraId="4F1D6430" w14:textId="77777777" w:rsidR="001C2486" w:rsidRPr="00C36779" w:rsidRDefault="001C2486" w:rsidP="00385CE3">
      <w:pPr>
        <w:bidi w:val="0"/>
        <w:rPr>
          <w:b/>
          <w:bCs/>
          <w:color w:val="000000" w:themeColor="text1"/>
          <w:sz w:val="16"/>
          <w:szCs w:val="16"/>
        </w:rPr>
      </w:pPr>
    </w:p>
    <w:p w14:paraId="35997216"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b/>
          <w:bCs/>
          <w:color w:val="000000" w:themeColor="text1"/>
        </w:rPr>
        <w:t>Rest of the world</w:t>
      </w:r>
      <w:r w:rsidR="0012400A">
        <w:rPr>
          <w:b/>
          <w:bCs/>
          <w:color w:val="000000" w:themeColor="text1"/>
        </w:rPr>
        <w:t xml:space="preserve"> (as health care providers)</w:t>
      </w:r>
      <w:r w:rsidRPr="00A528FD">
        <w:rPr>
          <w:b/>
          <w:bCs/>
          <w:color w:val="000000" w:themeColor="text1"/>
        </w:rPr>
        <w:t>:</w:t>
      </w:r>
    </w:p>
    <w:p w14:paraId="5ABA8377"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all non-resident units providing health care goods and services as well as those involved in health-related activities. In both cases the provision is directed for final use to country residents. </w:t>
      </w:r>
    </w:p>
    <w:p w14:paraId="40526564" w14:textId="77777777" w:rsidR="00221A2C" w:rsidRPr="00860B68" w:rsidRDefault="00221A2C" w:rsidP="00385CE3">
      <w:pPr>
        <w:pStyle w:val="NormalWeb"/>
        <w:spacing w:before="0" w:beforeAutospacing="0" w:after="0" w:afterAutospacing="0"/>
        <w:jc w:val="both"/>
        <w:rPr>
          <w:rFonts w:ascii="Times New Roman" w:hAnsi="Times New Roman" w:cs="Times New Roman"/>
          <w:b/>
          <w:bCs/>
          <w:color w:val="000000" w:themeColor="text1"/>
        </w:rPr>
      </w:pPr>
    </w:p>
    <w:p w14:paraId="34087C27" w14:textId="77777777" w:rsidR="00221A2C" w:rsidRPr="00A528FD" w:rsidRDefault="00237B34" w:rsidP="00385CE3">
      <w:pPr>
        <w:bidi w:val="0"/>
        <w:jc w:val="both"/>
        <w:rPr>
          <w:b/>
          <w:bCs/>
          <w:color w:val="000000"/>
        </w:rPr>
      </w:pPr>
      <w:r w:rsidRPr="00A528FD">
        <w:rPr>
          <w:b/>
          <w:bCs/>
          <w:color w:val="000000"/>
        </w:rPr>
        <w:t xml:space="preserve">1.2 </w:t>
      </w:r>
      <w:r w:rsidR="00B802E7" w:rsidRPr="00A528FD">
        <w:rPr>
          <w:b/>
          <w:bCs/>
          <w:color w:val="000000"/>
        </w:rPr>
        <w:t>Classifications</w:t>
      </w:r>
    </w:p>
    <w:p w14:paraId="448FC14E" w14:textId="0864A00C" w:rsidR="003301BF" w:rsidRDefault="003301BF" w:rsidP="00E62AEF">
      <w:pPr>
        <w:pStyle w:val="BodyText2"/>
        <w:rPr>
          <w:szCs w:val="28"/>
          <w:rtl/>
        </w:rPr>
      </w:pPr>
      <w:r w:rsidRPr="00A528FD">
        <w:rPr>
          <w:lang w:eastAsia="en-US"/>
        </w:rPr>
        <w:t xml:space="preserve">The methodology used to collect and process statistical data based on adoption international standard by PCBS, and it is depend on </w:t>
      </w:r>
      <w:r w:rsidRPr="00A528FD">
        <w:rPr>
          <w:szCs w:val="28"/>
        </w:rPr>
        <w:t xml:space="preserve">System of Health Accounts, SHA 2011 edition, which </w:t>
      </w:r>
      <w:proofErr w:type="gramStart"/>
      <w:r w:rsidRPr="00A528FD">
        <w:rPr>
          <w:szCs w:val="28"/>
        </w:rPr>
        <w:t>was issued</w:t>
      </w:r>
      <w:proofErr w:type="gramEnd"/>
      <w:r w:rsidRPr="00A528FD">
        <w:rPr>
          <w:szCs w:val="28"/>
        </w:rPr>
        <w:t xml:space="preserve"> by </w:t>
      </w:r>
      <w:r w:rsidRPr="00A528FD">
        <w:rPr>
          <w:sz w:val="23"/>
          <w:szCs w:val="23"/>
        </w:rPr>
        <w:t>the Organization for Economic Co-operation and Development</w:t>
      </w:r>
      <w:r w:rsidRPr="00A528FD">
        <w:rPr>
          <w:szCs w:val="28"/>
        </w:rPr>
        <w:t xml:space="preserve"> (OECD) and World health organization (WHO) and </w:t>
      </w:r>
      <w:r w:rsidR="007B4F2C">
        <w:rPr>
          <w:szCs w:val="28"/>
        </w:rPr>
        <w:t xml:space="preserve">the </w:t>
      </w:r>
      <w:r w:rsidR="00E62AEF">
        <w:rPr>
          <w:szCs w:val="28"/>
        </w:rPr>
        <w:t>Statistical Office of the European Communities (Eurostat)</w:t>
      </w:r>
      <w:r w:rsidRPr="00A528FD">
        <w:rPr>
          <w:szCs w:val="28"/>
        </w:rPr>
        <w:t xml:space="preserve">.  </w:t>
      </w:r>
    </w:p>
    <w:p w14:paraId="175CA3F6" w14:textId="77777777" w:rsidR="00860B68" w:rsidRPr="00860B68" w:rsidRDefault="00860B68" w:rsidP="00E62AEF">
      <w:pPr>
        <w:pStyle w:val="BodyText2"/>
        <w:rPr>
          <w:sz w:val="10"/>
          <w:szCs w:val="12"/>
          <w:lang w:eastAsia="en-US"/>
        </w:rPr>
      </w:pPr>
    </w:p>
    <w:p w14:paraId="59F79EB5" w14:textId="77777777" w:rsidR="0047395E" w:rsidRPr="00C36779" w:rsidRDefault="006253D3" w:rsidP="00385CE3">
      <w:pPr>
        <w:pStyle w:val="ListParagraph"/>
        <w:numPr>
          <w:ilvl w:val="0"/>
          <w:numId w:val="9"/>
        </w:numPr>
        <w:bidi w:val="0"/>
        <w:ind w:left="426" w:hanging="284"/>
        <w:jc w:val="both"/>
        <w:rPr>
          <w:b/>
          <w:bCs/>
          <w:color w:val="000000"/>
        </w:rPr>
      </w:pPr>
      <w:r>
        <w:rPr>
          <w:color w:val="000000"/>
        </w:rPr>
        <w:t>The</w:t>
      </w:r>
      <w:r w:rsidR="00C36779">
        <w:rPr>
          <w:color w:val="000000"/>
        </w:rPr>
        <w:t xml:space="preserve"> </w:t>
      </w:r>
      <w:r w:rsidR="00B802E7" w:rsidRPr="00C36779">
        <w:rPr>
          <w:color w:val="000000"/>
        </w:rPr>
        <w:t>System of Health Accounts, 2011 edition. OECD, Eurostat, WHO</w:t>
      </w:r>
      <w:r w:rsidR="00546311" w:rsidRPr="00C36779">
        <w:rPr>
          <w:color w:val="000000"/>
        </w:rPr>
        <w:t>.</w:t>
      </w:r>
      <w:r w:rsidR="0047395E" w:rsidRPr="00C36779">
        <w:rPr>
          <w:color w:val="000000"/>
        </w:rPr>
        <w:br w:type="page"/>
      </w:r>
    </w:p>
    <w:p w14:paraId="3B14359F" w14:textId="111F9BBC" w:rsidR="00614413" w:rsidRPr="00AB0969" w:rsidRDefault="00614413" w:rsidP="00614413">
      <w:pPr>
        <w:bidi w:val="0"/>
        <w:jc w:val="center"/>
        <w:rPr>
          <w:color w:val="000000"/>
        </w:rPr>
      </w:pPr>
      <w:r w:rsidRPr="00AB0969">
        <w:rPr>
          <w:color w:val="000000"/>
        </w:rPr>
        <w:lastRenderedPageBreak/>
        <w:t>Chapter Two</w:t>
      </w:r>
    </w:p>
    <w:p w14:paraId="1159F01A" w14:textId="77777777" w:rsidR="00614413" w:rsidRPr="005F11BC" w:rsidRDefault="00614413" w:rsidP="00614413">
      <w:pPr>
        <w:pStyle w:val="Heading2"/>
        <w:rPr>
          <w:color w:val="000000"/>
          <w:sz w:val="24"/>
          <w:szCs w:val="24"/>
        </w:rPr>
      </w:pPr>
    </w:p>
    <w:p w14:paraId="425CD908" w14:textId="77777777" w:rsidR="00614413" w:rsidRPr="00221A2C" w:rsidRDefault="00614413" w:rsidP="00614413">
      <w:pPr>
        <w:pStyle w:val="Heading2"/>
        <w:rPr>
          <w:color w:val="000000"/>
          <w:rtl/>
        </w:rPr>
      </w:pPr>
      <w:r>
        <w:rPr>
          <w:color w:val="000000"/>
        </w:rPr>
        <w:t>Main Findings</w:t>
      </w:r>
    </w:p>
    <w:p w14:paraId="7EFEDB99" w14:textId="77777777" w:rsidR="00614413" w:rsidRDefault="00614413" w:rsidP="00614413">
      <w:pPr>
        <w:tabs>
          <w:tab w:val="left" w:pos="6558"/>
        </w:tabs>
        <w:bidi w:val="0"/>
        <w:rPr>
          <w:color w:val="000000"/>
          <w:rtl/>
          <w:lang w:val="en-GB"/>
        </w:rPr>
      </w:pPr>
    </w:p>
    <w:p w14:paraId="123B78AB" w14:textId="77777777" w:rsidR="00614413" w:rsidRDefault="00614413" w:rsidP="00614413">
      <w:pPr>
        <w:bidi w:val="0"/>
        <w:jc w:val="center"/>
        <w:rPr>
          <w:b/>
          <w:bCs/>
          <w:color w:val="000000"/>
          <w:sz w:val="4"/>
          <w:szCs w:val="4"/>
        </w:rPr>
      </w:pPr>
    </w:p>
    <w:p w14:paraId="0E90E3CF" w14:textId="27C7F8B2" w:rsidR="00614413" w:rsidRDefault="000B664B" w:rsidP="00614413">
      <w:pPr>
        <w:pStyle w:val="Title"/>
        <w:spacing w:after="0"/>
        <w:jc w:val="both"/>
        <w:outlineLvl w:val="9"/>
        <w:rPr>
          <w:rFonts w:ascii="Times New Roman"/>
          <w:color w:val="000000"/>
          <w:sz w:val="24"/>
          <w:szCs w:val="24"/>
          <w:rtl/>
          <w:lang w:val="en-US"/>
        </w:rPr>
      </w:pPr>
      <w:r>
        <w:rPr>
          <w:rFonts w:ascii="Times New Roman"/>
          <w:color w:val="000000"/>
          <w:sz w:val="24"/>
          <w:szCs w:val="24"/>
        </w:rPr>
        <w:t>2.1 Total Health Expenditure</w:t>
      </w:r>
      <w:r w:rsidR="00614413">
        <w:rPr>
          <w:rFonts w:ascii="Times New Roman"/>
          <w:color w:val="000000"/>
          <w:sz w:val="24"/>
          <w:szCs w:val="24"/>
        </w:rPr>
        <w:t xml:space="preserve"> in Palestine</w:t>
      </w:r>
    </w:p>
    <w:p w14:paraId="67802BB4" w14:textId="49B4064A" w:rsidR="00614413" w:rsidRPr="00470DC2" w:rsidRDefault="00614413" w:rsidP="00614413">
      <w:pPr>
        <w:pStyle w:val="Title"/>
        <w:spacing w:after="0"/>
        <w:jc w:val="both"/>
        <w:outlineLvl w:val="9"/>
        <w:rPr>
          <w:rFonts w:ascii="Times New Roman"/>
          <w:color w:val="000000"/>
          <w:sz w:val="24"/>
          <w:szCs w:val="24"/>
          <w:rtl/>
          <w:lang w:val="en-US"/>
        </w:rPr>
      </w:pPr>
      <w:r>
        <w:rPr>
          <w:rFonts w:ascii="Times New Roman"/>
          <w:b w:val="0"/>
          <w:bCs w:val="0"/>
          <w:color w:val="000000"/>
          <w:sz w:val="24"/>
          <w:szCs w:val="24"/>
        </w:rPr>
        <w:t>The results of the Palestinian Health Accounts</w:t>
      </w:r>
      <w:proofErr w:type="gramStart"/>
      <w:r>
        <w:rPr>
          <w:rFonts w:ascii="Times New Roman"/>
          <w:b w:val="0"/>
          <w:bCs w:val="0"/>
          <w:color w:val="000000"/>
          <w:sz w:val="24"/>
          <w:szCs w:val="24"/>
        </w:rPr>
        <w:t>,202</w:t>
      </w:r>
      <w:r>
        <w:rPr>
          <w:rFonts w:ascii="Times New Roman" w:hint="cs"/>
          <w:b w:val="0"/>
          <w:bCs w:val="0"/>
          <w:color w:val="000000"/>
          <w:sz w:val="24"/>
          <w:szCs w:val="24"/>
          <w:rtl/>
        </w:rPr>
        <w:t>2</w:t>
      </w:r>
      <w:proofErr w:type="gramEnd"/>
      <w:r>
        <w:rPr>
          <w:rFonts w:ascii="Times New Roman"/>
          <w:b w:val="0"/>
          <w:bCs w:val="0"/>
          <w:color w:val="000000"/>
          <w:sz w:val="24"/>
          <w:szCs w:val="24"/>
        </w:rPr>
        <w:t xml:space="preserve"> in Palestine indicat</w:t>
      </w:r>
      <w:r w:rsidR="000B664B">
        <w:rPr>
          <w:rFonts w:ascii="Times New Roman"/>
          <w:b w:val="0"/>
          <w:bCs w:val="0"/>
          <w:color w:val="000000"/>
          <w:sz w:val="24"/>
          <w:szCs w:val="24"/>
        </w:rPr>
        <w:t>e that total health expenditure</w:t>
      </w:r>
      <w:r>
        <w:rPr>
          <w:rFonts w:ascii="Times New Roman"/>
          <w:b w:val="0"/>
          <w:bCs w:val="0"/>
          <w:color w:val="000000"/>
          <w:sz w:val="24"/>
          <w:szCs w:val="24"/>
        </w:rPr>
        <w:t xml:space="preserve"> reached USD 1,860.2 million, where it decreased by 1.5% compared to 2021 which </w:t>
      </w:r>
      <w:r w:rsidRPr="00B73E79">
        <w:rPr>
          <w:rFonts w:ascii="Times New Roman"/>
          <w:b w:val="0"/>
          <w:bCs w:val="0"/>
          <w:color w:val="000000"/>
          <w:sz w:val="24"/>
          <w:szCs w:val="24"/>
        </w:rPr>
        <w:t>amounted</w:t>
      </w:r>
      <w:r>
        <w:rPr>
          <w:rFonts w:ascii="Times New Roman"/>
          <w:b w:val="0"/>
          <w:bCs w:val="0"/>
          <w:color w:val="000000"/>
          <w:sz w:val="24"/>
          <w:szCs w:val="24"/>
        </w:rPr>
        <w:t xml:space="preserve"> to USD 1,889.6</w:t>
      </w:r>
      <w:r>
        <w:rPr>
          <w:b w:val="0"/>
          <w:bCs w:val="0"/>
          <w:color w:val="000000"/>
          <w:sz w:val="24"/>
          <w:szCs w:val="24"/>
        </w:rPr>
        <w:t xml:space="preserve"> </w:t>
      </w:r>
      <w:r>
        <w:rPr>
          <w:rFonts w:ascii="Times New Roman"/>
          <w:b w:val="0"/>
          <w:bCs w:val="0"/>
          <w:color w:val="000000"/>
          <w:sz w:val="24"/>
          <w:szCs w:val="24"/>
        </w:rPr>
        <w:t>million. (See table 1).</w:t>
      </w:r>
    </w:p>
    <w:p w14:paraId="3B197860" w14:textId="77777777" w:rsidR="00614413" w:rsidRPr="00860B68" w:rsidRDefault="00614413" w:rsidP="00860B68">
      <w:pPr>
        <w:jc w:val="right"/>
        <w:rPr>
          <w:b/>
          <w:bCs/>
          <w:rtl/>
          <w:lang w:val="en-GB" w:eastAsia="en-US" w:bidi="ar-JO"/>
        </w:rPr>
      </w:pPr>
    </w:p>
    <w:p w14:paraId="5B2BC880" w14:textId="15D6DE4B" w:rsidR="00614413" w:rsidRPr="00FA34F4" w:rsidRDefault="00614413" w:rsidP="00614413">
      <w:pPr>
        <w:autoSpaceDE w:val="0"/>
        <w:autoSpaceDN w:val="0"/>
        <w:bidi w:val="0"/>
        <w:adjustRightInd w:val="0"/>
        <w:jc w:val="both"/>
        <w:rPr>
          <w:b/>
          <w:bCs/>
          <w:color w:val="000000"/>
        </w:rPr>
      </w:pPr>
      <w:r>
        <w:rPr>
          <w:b/>
          <w:bCs/>
          <w:color w:val="000000"/>
        </w:rPr>
        <w:t>2.2</w:t>
      </w:r>
      <w:r w:rsidR="000B664B">
        <w:rPr>
          <w:b/>
          <w:bCs/>
          <w:color w:val="000000"/>
        </w:rPr>
        <w:t xml:space="preserve"> Current Health Expenditure</w:t>
      </w:r>
      <w:r>
        <w:rPr>
          <w:b/>
          <w:bCs/>
          <w:color w:val="000000"/>
        </w:rPr>
        <w:t xml:space="preserve"> </w:t>
      </w:r>
      <w:r w:rsidRPr="0076084B">
        <w:rPr>
          <w:b/>
          <w:bCs/>
          <w:color w:val="000000"/>
        </w:rPr>
        <w:t xml:space="preserve">According to </w:t>
      </w:r>
      <w:r w:rsidRPr="0015657B">
        <w:rPr>
          <w:b/>
          <w:bCs/>
          <w:color w:val="000000"/>
        </w:rPr>
        <w:t>Financing Schemes</w:t>
      </w:r>
    </w:p>
    <w:p w14:paraId="39B7B73C" w14:textId="77777777" w:rsidR="00614413" w:rsidRPr="003906C3" w:rsidRDefault="00614413" w:rsidP="00614413">
      <w:pPr>
        <w:autoSpaceDE w:val="0"/>
        <w:autoSpaceDN w:val="0"/>
        <w:bidi w:val="0"/>
        <w:adjustRightInd w:val="0"/>
        <w:jc w:val="both"/>
        <w:rPr>
          <w:color w:val="FF0000"/>
        </w:rPr>
      </w:pPr>
      <w:r>
        <w:rPr>
          <w:color w:val="000000"/>
        </w:rPr>
        <w:t>SHA 2011 provides an accounting framework for health financing, where the three classifications (financing schemes, financing</w:t>
      </w:r>
      <w:r w:rsidRPr="008D7FB2">
        <w:rPr>
          <w:color w:val="000000"/>
        </w:rPr>
        <w:t xml:space="preserve"> </w:t>
      </w:r>
      <w:r>
        <w:rPr>
          <w:color w:val="000000"/>
        </w:rPr>
        <w:t>revenues,</w:t>
      </w:r>
      <w:r w:rsidRPr="002C4F02">
        <w:rPr>
          <w:color w:val="000000"/>
        </w:rPr>
        <w:t xml:space="preserve"> </w:t>
      </w:r>
      <w:r>
        <w:rPr>
          <w:color w:val="000000"/>
        </w:rPr>
        <w:t xml:space="preserve">and financing agents) are tools that allow for a systematic assessment of how funds are mobilized, managed and used, including the financing arrangements and the revenue-raising mechanisms. </w:t>
      </w:r>
      <w:r>
        <w:rPr>
          <w:color w:val="000000" w:themeColor="text1"/>
        </w:rPr>
        <w:t>G</w:t>
      </w:r>
      <w:r w:rsidRPr="004012A1">
        <w:rPr>
          <w:color w:val="000000" w:themeColor="text1"/>
        </w:rPr>
        <w:t>overnment schemes and compulsory contributory healthcare financing scheme</w:t>
      </w:r>
      <w:r>
        <w:rPr>
          <w:color w:val="000000" w:themeColor="text1"/>
        </w:rPr>
        <w:t>s</w:t>
      </w:r>
      <w:r w:rsidRPr="000C5604">
        <w:rPr>
          <w:color w:val="000000"/>
        </w:rPr>
        <w:t xml:space="preserve"> </w:t>
      </w:r>
      <w:r w:rsidRPr="002B0A1E">
        <w:rPr>
          <w:color w:val="000000"/>
        </w:rPr>
        <w:t>show</w:t>
      </w:r>
      <w:r w:rsidRPr="00CD262D">
        <w:rPr>
          <w:color w:val="000000"/>
        </w:rPr>
        <w:t xml:space="preserve"> </w:t>
      </w:r>
      <w:r>
        <w:rPr>
          <w:color w:val="000000"/>
        </w:rPr>
        <w:t xml:space="preserve">that the highest </w:t>
      </w:r>
      <w:r w:rsidRPr="00EF454F">
        <w:rPr>
          <w:color w:val="000000"/>
        </w:rPr>
        <w:t>contribution</w:t>
      </w:r>
      <w:r w:rsidRPr="00EF454F">
        <w:rPr>
          <w:color w:val="000000" w:themeColor="text1"/>
        </w:rPr>
        <w:t xml:space="preserve"> </w:t>
      </w:r>
      <w:r>
        <w:rPr>
          <w:color w:val="000000" w:themeColor="text1"/>
        </w:rPr>
        <w:t xml:space="preserve">was </w:t>
      </w:r>
      <w:r>
        <w:rPr>
          <w:color w:val="000000" w:themeColor="text1"/>
          <w:lang w:val="en-GB"/>
        </w:rPr>
        <w:t xml:space="preserve">46.7% </w:t>
      </w:r>
      <w:r>
        <w:rPr>
          <w:color w:val="000000" w:themeColor="text1"/>
        </w:rPr>
        <w:t>in 2022</w:t>
      </w:r>
      <w:r>
        <w:rPr>
          <w:color w:val="000000" w:themeColor="text1"/>
          <w:lang w:val="en-GB"/>
        </w:rPr>
        <w:t xml:space="preserve">, whereas it was </w:t>
      </w:r>
      <w:r>
        <w:rPr>
          <w:color w:val="000000" w:themeColor="text1"/>
        </w:rPr>
        <w:t>47.3% in 2021</w:t>
      </w:r>
      <w:r>
        <w:rPr>
          <w:color w:val="000000" w:themeColor="text1"/>
          <w:lang w:val="en-GB"/>
        </w:rPr>
        <w:t xml:space="preserve">. This </w:t>
      </w:r>
      <w:proofErr w:type="gramStart"/>
      <w:r>
        <w:rPr>
          <w:color w:val="000000" w:themeColor="text1"/>
          <w:lang w:val="en-GB"/>
        </w:rPr>
        <w:t>is followed</w:t>
      </w:r>
      <w:proofErr w:type="gramEnd"/>
      <w:r>
        <w:rPr>
          <w:color w:val="000000" w:themeColor="text1"/>
          <w:lang w:val="en-GB"/>
        </w:rPr>
        <w:t xml:space="preserve"> by </w:t>
      </w:r>
      <w:r w:rsidRPr="004012A1">
        <w:rPr>
          <w:color w:val="000000" w:themeColor="text1"/>
        </w:rPr>
        <w:t>household’s</w:t>
      </w:r>
      <w:r w:rsidRPr="00716D8F">
        <w:rPr>
          <w:color w:val="000000" w:themeColor="text1"/>
        </w:rPr>
        <w:t xml:space="preserve"> out-of-pocket payment scheme</w:t>
      </w:r>
      <w:r>
        <w:rPr>
          <w:color w:val="000000" w:themeColor="text1"/>
        </w:rPr>
        <w:t xml:space="preserve"> with 33.6</w:t>
      </w:r>
      <w:r w:rsidRPr="00716D8F">
        <w:rPr>
          <w:color w:val="000000" w:themeColor="text1"/>
        </w:rPr>
        <w:t xml:space="preserve">% in </w:t>
      </w:r>
      <w:r>
        <w:rPr>
          <w:color w:val="000000" w:themeColor="text1"/>
        </w:rPr>
        <w:t>2022, and 33.5% in</w:t>
      </w:r>
      <w:r w:rsidRPr="00716D8F">
        <w:rPr>
          <w:color w:val="000000" w:themeColor="text1"/>
        </w:rPr>
        <w:t xml:space="preserve"> </w:t>
      </w:r>
      <w:r>
        <w:rPr>
          <w:color w:val="000000" w:themeColor="text1"/>
        </w:rPr>
        <w:t>2021</w:t>
      </w:r>
      <w:r w:rsidRPr="00716D8F">
        <w:rPr>
          <w:color w:val="000000" w:themeColor="text1"/>
        </w:rPr>
        <w:t xml:space="preserve">. The </w:t>
      </w:r>
      <w:r w:rsidRPr="00EF454F">
        <w:rPr>
          <w:color w:val="000000" w:themeColor="text1"/>
        </w:rPr>
        <w:t>contribution</w:t>
      </w:r>
      <w:r w:rsidRPr="00716D8F">
        <w:rPr>
          <w:color w:val="000000" w:themeColor="text1"/>
        </w:rPr>
        <w:t xml:space="preserve"> of voluntary healthcare payment schemes reached </w:t>
      </w:r>
      <w:r>
        <w:rPr>
          <w:color w:val="000000" w:themeColor="text1"/>
        </w:rPr>
        <w:t>16.3</w:t>
      </w:r>
      <w:r w:rsidRPr="00716D8F">
        <w:rPr>
          <w:color w:val="000000" w:themeColor="text1"/>
        </w:rPr>
        <w:t xml:space="preserve">% in </w:t>
      </w:r>
      <w:r>
        <w:rPr>
          <w:color w:val="000000" w:themeColor="text1"/>
        </w:rPr>
        <w:t>2022,</w:t>
      </w:r>
      <w:r w:rsidRPr="00716D8F">
        <w:rPr>
          <w:color w:val="000000" w:themeColor="text1"/>
        </w:rPr>
        <w:t xml:space="preserve"> wh</w:t>
      </w:r>
      <w:r>
        <w:rPr>
          <w:color w:val="000000" w:themeColor="text1"/>
        </w:rPr>
        <w:t xml:space="preserve">ereas </w:t>
      </w:r>
      <w:r w:rsidRPr="00716D8F">
        <w:rPr>
          <w:color w:val="000000" w:themeColor="text1"/>
        </w:rPr>
        <w:t xml:space="preserve">it </w:t>
      </w:r>
      <w:r>
        <w:rPr>
          <w:color w:val="000000" w:themeColor="text1"/>
        </w:rPr>
        <w:t>reached</w:t>
      </w:r>
      <w:r w:rsidRPr="00716D8F" w:rsidDel="003B174F">
        <w:rPr>
          <w:color w:val="000000" w:themeColor="text1"/>
        </w:rPr>
        <w:t xml:space="preserve"> </w:t>
      </w:r>
      <w:r>
        <w:rPr>
          <w:color w:val="000000" w:themeColor="text1"/>
        </w:rPr>
        <w:t>16</w:t>
      </w:r>
      <w:r w:rsidRPr="00716D8F">
        <w:rPr>
          <w:color w:val="000000" w:themeColor="text1"/>
        </w:rPr>
        <w:t xml:space="preserve">% in </w:t>
      </w:r>
      <w:r>
        <w:rPr>
          <w:color w:val="000000" w:themeColor="text1"/>
        </w:rPr>
        <w:t>2021</w:t>
      </w:r>
      <w:r w:rsidRPr="00716D8F">
        <w:rPr>
          <w:color w:val="000000" w:themeColor="text1"/>
        </w:rPr>
        <w:t>.</w:t>
      </w:r>
      <w:r>
        <w:rPr>
          <w:color w:val="000000" w:themeColor="text1"/>
        </w:rPr>
        <w:t xml:space="preserve"> </w:t>
      </w:r>
      <w:r w:rsidRPr="00716D8F">
        <w:rPr>
          <w:color w:val="000000" w:themeColor="text1"/>
        </w:rPr>
        <w:t xml:space="preserve"> </w:t>
      </w:r>
      <w:r>
        <w:rPr>
          <w:color w:val="000000" w:themeColor="text1"/>
        </w:rPr>
        <w:t xml:space="preserve">Moreover, </w:t>
      </w:r>
      <w:r w:rsidRPr="00A54273">
        <w:rPr>
          <w:color w:val="000000" w:themeColor="text1"/>
        </w:rPr>
        <w:t>the rest of the world</w:t>
      </w:r>
      <w:r w:rsidRPr="00716D8F">
        <w:rPr>
          <w:color w:val="000000" w:themeColor="text1"/>
        </w:rPr>
        <w:t xml:space="preserve"> </w:t>
      </w:r>
      <w:proofErr w:type="gramStart"/>
      <w:r>
        <w:rPr>
          <w:color w:val="000000" w:themeColor="text1"/>
        </w:rPr>
        <w:t>was considered</w:t>
      </w:r>
      <w:proofErr w:type="gramEnd"/>
      <w:r>
        <w:rPr>
          <w:color w:val="000000" w:themeColor="text1"/>
        </w:rPr>
        <w:t xml:space="preserve"> as an</w:t>
      </w:r>
      <w:r w:rsidRPr="00716D8F">
        <w:rPr>
          <w:color w:val="000000" w:themeColor="text1"/>
        </w:rPr>
        <w:t xml:space="preserve"> </w:t>
      </w:r>
      <w:r>
        <w:rPr>
          <w:color w:val="000000" w:themeColor="text1"/>
        </w:rPr>
        <w:t>important</w:t>
      </w:r>
      <w:r w:rsidRPr="00716D8F">
        <w:rPr>
          <w:color w:val="000000" w:themeColor="text1"/>
        </w:rPr>
        <w:t xml:space="preserve"> source of funding in </w:t>
      </w:r>
      <w:r>
        <w:rPr>
          <w:color w:val="000000" w:themeColor="text1"/>
        </w:rPr>
        <w:t xml:space="preserve">the </w:t>
      </w:r>
      <w:r w:rsidRPr="00716D8F">
        <w:rPr>
          <w:color w:val="000000" w:themeColor="text1"/>
        </w:rPr>
        <w:t>Palestinian economy</w:t>
      </w:r>
      <w:r>
        <w:rPr>
          <w:color w:val="000000" w:themeColor="text1"/>
        </w:rPr>
        <w:t xml:space="preserve"> and health expenditures, </w:t>
      </w:r>
      <w:r w:rsidRPr="00716D8F">
        <w:rPr>
          <w:color w:val="000000" w:themeColor="text1"/>
        </w:rPr>
        <w:t>contribut</w:t>
      </w:r>
      <w:r>
        <w:rPr>
          <w:color w:val="000000" w:themeColor="text1"/>
        </w:rPr>
        <w:t>ing with</w:t>
      </w:r>
      <w:r w:rsidRPr="00716D8F">
        <w:rPr>
          <w:color w:val="000000" w:themeColor="text1"/>
        </w:rPr>
        <w:t xml:space="preserve"> </w:t>
      </w:r>
      <w:r>
        <w:rPr>
          <w:color w:val="000000" w:themeColor="text1"/>
        </w:rPr>
        <w:t>3.4</w:t>
      </w:r>
      <w:r w:rsidRPr="00716D8F">
        <w:rPr>
          <w:color w:val="000000" w:themeColor="text1"/>
        </w:rPr>
        <w:t xml:space="preserve">% in </w:t>
      </w:r>
      <w:r>
        <w:rPr>
          <w:color w:val="000000" w:themeColor="text1"/>
        </w:rPr>
        <w:t>2022 and 3.2% in 2021</w:t>
      </w:r>
      <w:r w:rsidRPr="00716D8F">
        <w:rPr>
          <w:color w:val="000000" w:themeColor="text1"/>
        </w:rPr>
        <w:t>.</w:t>
      </w:r>
      <w:r>
        <w:rPr>
          <w:color w:val="FF0000"/>
        </w:rPr>
        <w:t xml:space="preserve"> </w:t>
      </w:r>
      <w:r w:rsidRPr="00712BE6">
        <w:rPr>
          <w:color w:val="000000"/>
        </w:rPr>
        <w:t xml:space="preserve">(See </w:t>
      </w:r>
      <w:r>
        <w:rPr>
          <w:color w:val="000000"/>
        </w:rPr>
        <w:t>t</w:t>
      </w:r>
      <w:r w:rsidRPr="00712BE6">
        <w:rPr>
          <w:color w:val="000000"/>
        </w:rPr>
        <w:t>able 2)</w:t>
      </w:r>
      <w:r>
        <w:rPr>
          <w:color w:val="000000"/>
        </w:rPr>
        <w:t>.</w:t>
      </w:r>
    </w:p>
    <w:p w14:paraId="57FD3F61" w14:textId="77777777" w:rsidR="00614413" w:rsidRPr="00860B68" w:rsidRDefault="00614413" w:rsidP="00614413">
      <w:pPr>
        <w:bidi w:val="0"/>
        <w:rPr>
          <w:rFonts w:ascii="Arial" w:hAnsi="Arial" w:cs="Arial"/>
          <w:b/>
          <w:bCs/>
          <w:color w:val="000000" w:themeColor="text1"/>
        </w:rPr>
      </w:pPr>
    </w:p>
    <w:p w14:paraId="29754A20" w14:textId="77777777" w:rsidR="00614413" w:rsidRDefault="00614413" w:rsidP="00614413">
      <w:pPr>
        <w:bidi w:val="0"/>
        <w:jc w:val="center"/>
        <w:rPr>
          <w:rFonts w:ascii="Arial" w:hAnsi="Arial" w:cs="Arial"/>
          <w:b/>
          <w:bCs/>
          <w:color w:val="000000"/>
          <w:sz w:val="22"/>
          <w:szCs w:val="22"/>
        </w:rPr>
      </w:pPr>
      <w:r w:rsidRPr="00C36779">
        <w:rPr>
          <w:rFonts w:ascii="Arial" w:hAnsi="Arial" w:cs="Arial"/>
          <w:b/>
          <w:bCs/>
          <w:color w:val="000000"/>
          <w:sz w:val="22"/>
          <w:szCs w:val="22"/>
        </w:rPr>
        <w:t>Percentage Distribution of Total Current Expenditure on Health</w:t>
      </w:r>
      <w:r>
        <w:rPr>
          <w:rFonts w:ascii="Arial" w:hAnsi="Arial" w:cs="Arial"/>
          <w:b/>
          <w:bCs/>
          <w:color w:val="000000"/>
          <w:sz w:val="22"/>
          <w:szCs w:val="22"/>
        </w:rPr>
        <w:t xml:space="preserve"> </w:t>
      </w:r>
      <w:r w:rsidRPr="00C36779">
        <w:rPr>
          <w:rFonts w:ascii="Arial" w:hAnsi="Arial" w:cs="Arial"/>
          <w:b/>
          <w:bCs/>
          <w:color w:val="000000"/>
          <w:sz w:val="22"/>
          <w:szCs w:val="22"/>
        </w:rPr>
        <w:t>by Financing Schemes</w:t>
      </w:r>
      <w:r w:rsidRPr="00D71E6E">
        <w:rPr>
          <w:rFonts w:ascii="Arial" w:hAnsi="Arial" w:cs="Arial"/>
          <w:b/>
          <w:bCs/>
          <w:color w:val="000000"/>
          <w:sz w:val="22"/>
          <w:szCs w:val="22"/>
        </w:rPr>
        <w:t xml:space="preserve"> </w:t>
      </w:r>
      <w:r w:rsidRPr="00C36779">
        <w:rPr>
          <w:rFonts w:ascii="Arial" w:hAnsi="Arial" w:cs="Arial"/>
          <w:b/>
          <w:bCs/>
          <w:color w:val="000000"/>
          <w:sz w:val="22"/>
          <w:szCs w:val="22"/>
        </w:rPr>
        <w:t>in Palestine</w:t>
      </w:r>
      <w:r>
        <w:rPr>
          <w:rFonts w:ascii="Arial" w:hAnsi="Arial" w:cs="Arial"/>
          <w:b/>
          <w:bCs/>
          <w:color w:val="000000"/>
          <w:sz w:val="22"/>
          <w:szCs w:val="22"/>
        </w:rPr>
        <w:t>, 2021-2022</w:t>
      </w:r>
    </w:p>
    <w:tbl>
      <w:tblPr>
        <w:tblStyle w:val="TableGrid"/>
        <w:tblW w:w="0" w:type="auto"/>
        <w:jc w:val="center"/>
        <w:tblLook w:val="04A0" w:firstRow="1" w:lastRow="0" w:firstColumn="1" w:lastColumn="0" w:noHBand="0" w:noVBand="1"/>
      </w:tblPr>
      <w:tblGrid>
        <w:gridCol w:w="8865"/>
      </w:tblGrid>
      <w:tr w:rsidR="00614413" w14:paraId="676BACAC" w14:textId="77777777" w:rsidTr="00F96327">
        <w:trPr>
          <w:trHeight w:val="3468"/>
          <w:jc w:val="center"/>
        </w:trPr>
        <w:tc>
          <w:tcPr>
            <w:tcW w:w="8865" w:type="dxa"/>
            <w:vAlign w:val="center"/>
          </w:tcPr>
          <w:p w14:paraId="13A977F5" w14:textId="77777777" w:rsidR="00614413" w:rsidRDefault="00614413" w:rsidP="00F96327">
            <w:pPr>
              <w:bidi w:val="0"/>
              <w:jc w:val="center"/>
              <w:rPr>
                <w:rFonts w:ascii="Arial" w:hAnsi="Arial" w:cs="Arial"/>
                <w:b/>
                <w:bCs/>
                <w:color w:val="000000"/>
              </w:rPr>
            </w:pPr>
            <w:r>
              <w:rPr>
                <w:rFonts w:ascii="Arial" w:hAnsi="Arial" w:cs="Arial"/>
                <w:b/>
                <w:bCs/>
                <w:noProof/>
                <w:color w:val="000000"/>
                <w:lang w:eastAsia="en-US"/>
              </w:rPr>
              <w:drawing>
                <wp:inline distT="0" distB="0" distL="0" distR="0" wp14:anchorId="7FB75A99" wp14:editId="2241C70F">
                  <wp:extent cx="5492115" cy="206502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14:paraId="28CC24F1" w14:textId="77777777" w:rsidR="00614413" w:rsidRPr="00860B68" w:rsidRDefault="00614413" w:rsidP="00614413">
      <w:pPr>
        <w:autoSpaceDE w:val="0"/>
        <w:autoSpaceDN w:val="0"/>
        <w:bidi w:val="0"/>
        <w:adjustRightInd w:val="0"/>
        <w:jc w:val="both"/>
        <w:rPr>
          <w:color w:val="000000"/>
          <w:sz w:val="28"/>
          <w:szCs w:val="28"/>
        </w:rPr>
      </w:pPr>
    </w:p>
    <w:p w14:paraId="3AB1FEF4" w14:textId="77777777" w:rsidR="00614413" w:rsidRPr="00FA34F4" w:rsidRDefault="00614413" w:rsidP="00614413">
      <w:pPr>
        <w:autoSpaceDE w:val="0"/>
        <w:autoSpaceDN w:val="0"/>
        <w:bidi w:val="0"/>
        <w:adjustRightInd w:val="0"/>
        <w:jc w:val="both"/>
        <w:rPr>
          <w:b/>
          <w:bCs/>
          <w:color w:val="000000"/>
        </w:rPr>
      </w:pPr>
      <w:r>
        <w:rPr>
          <w:b/>
          <w:bCs/>
          <w:color w:val="000000"/>
        </w:rPr>
        <w:t xml:space="preserve">2.3 Current Health Expenditures </w:t>
      </w:r>
      <w:r w:rsidRPr="0076084B">
        <w:rPr>
          <w:b/>
          <w:bCs/>
          <w:color w:val="000000"/>
        </w:rPr>
        <w:t xml:space="preserve">According to </w:t>
      </w:r>
      <w:r w:rsidRPr="0015657B">
        <w:rPr>
          <w:b/>
          <w:bCs/>
          <w:color w:val="000000"/>
        </w:rPr>
        <w:t xml:space="preserve">Financing </w:t>
      </w:r>
      <w:r>
        <w:rPr>
          <w:b/>
          <w:bCs/>
          <w:color w:val="000000"/>
        </w:rPr>
        <w:t>Agents</w:t>
      </w:r>
    </w:p>
    <w:p w14:paraId="4FFBA88A" w14:textId="77777777" w:rsidR="00614413" w:rsidRDefault="00614413" w:rsidP="00614413">
      <w:pPr>
        <w:autoSpaceDE w:val="0"/>
        <w:autoSpaceDN w:val="0"/>
        <w:bidi w:val="0"/>
        <w:adjustRightInd w:val="0"/>
        <w:jc w:val="both"/>
        <w:rPr>
          <w:color w:val="000000"/>
        </w:rPr>
      </w:pPr>
      <w:r>
        <w:rPr>
          <w:color w:val="000000"/>
        </w:rPr>
        <w:t xml:space="preserve">The </w:t>
      </w:r>
      <w:r w:rsidRPr="002B0A1E">
        <w:rPr>
          <w:color w:val="000000"/>
        </w:rPr>
        <w:t>Central government shows</w:t>
      </w:r>
      <w:r w:rsidRPr="00CD262D">
        <w:rPr>
          <w:color w:val="000000"/>
        </w:rPr>
        <w:t xml:space="preserve"> </w:t>
      </w:r>
      <w:r>
        <w:rPr>
          <w:color w:val="000000"/>
        </w:rPr>
        <w:t>the highest contribution in 2022 by</w:t>
      </w:r>
      <w:r w:rsidRPr="00C713CB">
        <w:rPr>
          <w:color w:val="000000"/>
        </w:rPr>
        <w:t xml:space="preserve"> financing agents</w:t>
      </w:r>
      <w:r>
        <w:rPr>
          <w:color w:val="000000"/>
        </w:rPr>
        <w:t xml:space="preserve">, which reached 46.7% out of total expenditure, compared to 47.3% in 2021. This </w:t>
      </w:r>
      <w:proofErr w:type="gramStart"/>
      <w:r>
        <w:rPr>
          <w:color w:val="000000"/>
        </w:rPr>
        <w:t>is f</w:t>
      </w:r>
      <w:r w:rsidRPr="00C713CB">
        <w:rPr>
          <w:color w:val="000000"/>
        </w:rPr>
        <w:t>ollowed</w:t>
      </w:r>
      <w:proofErr w:type="gramEnd"/>
      <w:r w:rsidRPr="00C713CB">
        <w:rPr>
          <w:color w:val="000000"/>
        </w:rPr>
        <w:t xml:space="preserve"> by </w:t>
      </w:r>
      <w:r w:rsidRPr="002B0A1E">
        <w:rPr>
          <w:color w:val="000000"/>
        </w:rPr>
        <w:t xml:space="preserve">household </w:t>
      </w:r>
      <w:r>
        <w:rPr>
          <w:color w:val="000000"/>
        </w:rPr>
        <w:t>contributions by</w:t>
      </w:r>
      <w:r w:rsidRPr="002B0A1E">
        <w:rPr>
          <w:color w:val="000000"/>
        </w:rPr>
        <w:t xml:space="preserve"> </w:t>
      </w:r>
      <w:r>
        <w:rPr>
          <w:color w:val="000000"/>
        </w:rPr>
        <w:t>33.6% of health expenditure in 2022 compared to 33.5% in 2021</w:t>
      </w:r>
      <w:r w:rsidRPr="002B0A1E">
        <w:rPr>
          <w:color w:val="000000"/>
        </w:rPr>
        <w:t>.</w:t>
      </w:r>
      <w:r w:rsidRPr="000C264C">
        <w:rPr>
          <w:color w:val="000000"/>
        </w:rPr>
        <w:t xml:space="preserve"> </w:t>
      </w:r>
      <w:r>
        <w:rPr>
          <w:color w:val="000000"/>
        </w:rPr>
        <w:t xml:space="preserve"> In addition,</w:t>
      </w:r>
      <w:r w:rsidRPr="002B0A1E">
        <w:rPr>
          <w:color w:val="000000"/>
        </w:rPr>
        <w:t xml:space="preserve"> the percent</w:t>
      </w:r>
      <w:r>
        <w:rPr>
          <w:color w:val="000000"/>
        </w:rPr>
        <w:t>age</w:t>
      </w:r>
      <w:r w:rsidRPr="002B0A1E">
        <w:rPr>
          <w:color w:val="000000"/>
        </w:rPr>
        <w:t xml:space="preserve"> </w:t>
      </w:r>
      <w:r w:rsidRPr="007E2356">
        <w:rPr>
          <w:color w:val="000000"/>
        </w:rPr>
        <w:t>contribution</w:t>
      </w:r>
      <w:r w:rsidRPr="002B0A1E">
        <w:rPr>
          <w:color w:val="000000"/>
        </w:rPr>
        <w:t xml:space="preserve"> of </w:t>
      </w:r>
      <w:r>
        <w:rPr>
          <w:color w:val="000000"/>
        </w:rPr>
        <w:t>n</w:t>
      </w:r>
      <w:r w:rsidRPr="002B0A1E">
        <w:rPr>
          <w:color w:val="000000"/>
        </w:rPr>
        <w:t>on-profit institutions serving households (</w:t>
      </w:r>
      <w:r>
        <w:rPr>
          <w:color w:val="000000"/>
        </w:rPr>
        <w:t xml:space="preserve">NPISH) was 17.1% in 2022 compared to 16.2% in 2021. </w:t>
      </w:r>
      <w:r w:rsidRPr="002B0A1E">
        <w:rPr>
          <w:color w:val="000000"/>
        </w:rPr>
        <w:t xml:space="preserve"> </w:t>
      </w:r>
      <w:r w:rsidRPr="00360582">
        <w:rPr>
          <w:color w:val="000000"/>
        </w:rPr>
        <w:t>Insurance</w:t>
      </w:r>
      <w:r w:rsidRPr="002B0A1E">
        <w:rPr>
          <w:color w:val="000000"/>
        </w:rPr>
        <w:t xml:space="preserve"> corporations </w:t>
      </w:r>
      <w:r>
        <w:t>slightly decreased by 2.6% in 2022 compared to 3% in 2021</w:t>
      </w:r>
      <w:r w:rsidRPr="002B0A1E">
        <w:t>.</w:t>
      </w:r>
      <w:r w:rsidRPr="00712BE6">
        <w:rPr>
          <w:b/>
          <w:bCs/>
          <w:color w:val="000000"/>
        </w:rPr>
        <w:t xml:space="preserve"> </w:t>
      </w:r>
      <w:r>
        <w:rPr>
          <w:b/>
          <w:bCs/>
          <w:color w:val="000000"/>
        </w:rPr>
        <w:t xml:space="preserve"> </w:t>
      </w:r>
      <w:r w:rsidRPr="00712BE6">
        <w:rPr>
          <w:color w:val="000000"/>
        </w:rPr>
        <w:t xml:space="preserve">(See </w:t>
      </w:r>
      <w:r>
        <w:rPr>
          <w:color w:val="000000"/>
        </w:rPr>
        <w:t>t</w:t>
      </w:r>
      <w:r w:rsidRPr="00712BE6">
        <w:rPr>
          <w:color w:val="000000"/>
        </w:rPr>
        <w:t>able 3)</w:t>
      </w:r>
      <w:r>
        <w:rPr>
          <w:color w:val="000000"/>
        </w:rPr>
        <w:t xml:space="preserve">. </w:t>
      </w:r>
    </w:p>
    <w:p w14:paraId="047D92E6" w14:textId="77777777" w:rsidR="00614413" w:rsidRPr="005F11BC" w:rsidRDefault="00614413" w:rsidP="00614413">
      <w:pPr>
        <w:autoSpaceDE w:val="0"/>
        <w:autoSpaceDN w:val="0"/>
        <w:bidi w:val="0"/>
        <w:adjustRightInd w:val="0"/>
        <w:jc w:val="both"/>
        <w:rPr>
          <w:rFonts w:ascii="Arial" w:hAnsi="Arial" w:cs="Arial"/>
          <w:b/>
          <w:bCs/>
          <w:color w:val="000000"/>
        </w:rPr>
      </w:pPr>
    </w:p>
    <w:p w14:paraId="60793015" w14:textId="77777777" w:rsidR="00614413" w:rsidRDefault="00614413" w:rsidP="00614413">
      <w:pPr>
        <w:bidi w:val="0"/>
        <w:jc w:val="center"/>
        <w:rPr>
          <w:rFonts w:ascii="Arial" w:hAnsi="Arial" w:cs="Arial"/>
          <w:b/>
          <w:bCs/>
          <w:color w:val="000000"/>
          <w:sz w:val="22"/>
          <w:szCs w:val="22"/>
        </w:rPr>
      </w:pPr>
    </w:p>
    <w:p w14:paraId="24368E1E" w14:textId="77777777" w:rsidR="00614413" w:rsidRDefault="00614413" w:rsidP="00614413">
      <w:pPr>
        <w:bidi w:val="0"/>
        <w:jc w:val="center"/>
        <w:rPr>
          <w:rFonts w:ascii="Arial" w:hAnsi="Arial" w:cs="Arial"/>
          <w:b/>
          <w:bCs/>
          <w:color w:val="000000"/>
          <w:sz w:val="22"/>
          <w:szCs w:val="22"/>
        </w:rPr>
      </w:pPr>
    </w:p>
    <w:p w14:paraId="5BF6CB5F" w14:textId="77777777" w:rsidR="00614413" w:rsidRDefault="00614413" w:rsidP="00614413">
      <w:pPr>
        <w:bidi w:val="0"/>
        <w:jc w:val="center"/>
        <w:rPr>
          <w:rFonts w:ascii="Arial" w:hAnsi="Arial" w:cs="Arial"/>
          <w:b/>
          <w:bCs/>
          <w:color w:val="000000"/>
          <w:sz w:val="22"/>
          <w:szCs w:val="22"/>
        </w:rPr>
      </w:pPr>
    </w:p>
    <w:p w14:paraId="25E4D760" w14:textId="77777777" w:rsidR="00614413" w:rsidRDefault="00614413" w:rsidP="00614413">
      <w:pPr>
        <w:bidi w:val="0"/>
        <w:jc w:val="center"/>
        <w:rPr>
          <w:rFonts w:ascii="Arial" w:hAnsi="Arial" w:cs="Arial"/>
          <w:b/>
          <w:bCs/>
          <w:color w:val="000000"/>
          <w:sz w:val="22"/>
          <w:szCs w:val="22"/>
        </w:rPr>
      </w:pPr>
    </w:p>
    <w:p w14:paraId="57274BE0" w14:textId="77777777" w:rsidR="00614413" w:rsidRDefault="00614413" w:rsidP="00614413">
      <w:pPr>
        <w:bidi w:val="0"/>
        <w:jc w:val="center"/>
        <w:rPr>
          <w:rFonts w:ascii="Arial" w:hAnsi="Arial" w:cs="Arial"/>
          <w:b/>
          <w:bCs/>
          <w:color w:val="000000"/>
          <w:sz w:val="22"/>
          <w:szCs w:val="22"/>
        </w:rPr>
      </w:pPr>
    </w:p>
    <w:p w14:paraId="448E2BD5" w14:textId="3EFA50FD" w:rsidR="00614413" w:rsidRDefault="00614413" w:rsidP="00614413">
      <w:pPr>
        <w:bidi w:val="0"/>
        <w:jc w:val="center"/>
        <w:rPr>
          <w:rFonts w:ascii="Arial" w:hAnsi="Arial" w:cs="Arial"/>
          <w:b/>
          <w:bCs/>
          <w:color w:val="000000"/>
          <w:sz w:val="22"/>
          <w:szCs w:val="22"/>
        </w:rPr>
      </w:pPr>
      <w:r w:rsidRPr="00C36779">
        <w:rPr>
          <w:rFonts w:ascii="Arial" w:hAnsi="Arial" w:cs="Arial"/>
          <w:b/>
          <w:bCs/>
          <w:color w:val="000000"/>
          <w:sz w:val="22"/>
          <w:szCs w:val="22"/>
        </w:rPr>
        <w:lastRenderedPageBreak/>
        <w:t xml:space="preserve">Percentage Distribution of Total Current </w:t>
      </w:r>
      <w:r>
        <w:rPr>
          <w:rFonts w:ascii="Arial" w:hAnsi="Arial" w:cs="Arial"/>
          <w:b/>
          <w:bCs/>
          <w:color w:val="000000"/>
          <w:sz w:val="22"/>
          <w:szCs w:val="22"/>
        </w:rPr>
        <w:t xml:space="preserve">Health </w:t>
      </w:r>
      <w:r w:rsidRPr="00C36779">
        <w:rPr>
          <w:rFonts w:ascii="Arial" w:hAnsi="Arial" w:cs="Arial"/>
          <w:b/>
          <w:bCs/>
          <w:color w:val="000000"/>
          <w:sz w:val="22"/>
          <w:szCs w:val="22"/>
        </w:rPr>
        <w:t xml:space="preserve">Expenditure by Financing </w:t>
      </w:r>
      <w:r>
        <w:rPr>
          <w:rFonts w:ascii="Arial" w:hAnsi="Arial" w:cs="Arial"/>
          <w:b/>
          <w:bCs/>
          <w:color w:val="000000"/>
          <w:sz w:val="22"/>
          <w:szCs w:val="22"/>
        </w:rPr>
        <w:t>Agents</w:t>
      </w:r>
      <w:r w:rsidRPr="00C535DB">
        <w:rPr>
          <w:rFonts w:ascii="Arial" w:hAnsi="Arial" w:cs="Arial"/>
          <w:b/>
          <w:bCs/>
          <w:color w:val="000000"/>
          <w:sz w:val="22"/>
          <w:szCs w:val="22"/>
        </w:rPr>
        <w:t xml:space="preserve"> </w:t>
      </w:r>
      <w:r>
        <w:rPr>
          <w:rFonts w:ascii="Arial" w:hAnsi="Arial" w:cs="Arial"/>
          <w:b/>
          <w:bCs/>
          <w:color w:val="000000"/>
          <w:sz w:val="22"/>
          <w:szCs w:val="22"/>
        </w:rPr>
        <w:t>in Palestine, 2021-2022</w:t>
      </w:r>
    </w:p>
    <w:tbl>
      <w:tblPr>
        <w:tblStyle w:val="TableGrid"/>
        <w:tblW w:w="0" w:type="auto"/>
        <w:jc w:val="center"/>
        <w:tblLook w:val="04A0" w:firstRow="1" w:lastRow="0" w:firstColumn="1" w:lastColumn="0" w:noHBand="0" w:noVBand="1"/>
      </w:tblPr>
      <w:tblGrid>
        <w:gridCol w:w="9061"/>
      </w:tblGrid>
      <w:tr w:rsidR="00614413" w14:paraId="7ED89FCC" w14:textId="77777777" w:rsidTr="00F96327">
        <w:trPr>
          <w:trHeight w:val="3603"/>
          <w:jc w:val="center"/>
        </w:trPr>
        <w:tc>
          <w:tcPr>
            <w:tcW w:w="9061" w:type="dxa"/>
            <w:vAlign w:val="center"/>
          </w:tcPr>
          <w:p w14:paraId="1D346A24" w14:textId="77777777" w:rsidR="00614413" w:rsidRPr="00D85AFF" w:rsidRDefault="00614413" w:rsidP="00F96327">
            <w:pPr>
              <w:bidi w:val="0"/>
              <w:jc w:val="center"/>
              <w:rPr>
                <w:rFonts w:ascii="Arial" w:hAnsi="Arial" w:cs="Arial"/>
                <w:b/>
                <w:bCs/>
                <w:color w:val="000000"/>
                <w:sz w:val="2"/>
                <w:szCs w:val="2"/>
              </w:rPr>
            </w:pPr>
            <w:r w:rsidRPr="00C713CB">
              <w:rPr>
                <w:rFonts w:ascii="Arial" w:hAnsi="Arial" w:cs="Arial"/>
                <w:b/>
                <w:bCs/>
                <w:noProof/>
                <w:color w:val="000000"/>
                <w:sz w:val="20"/>
                <w:szCs w:val="20"/>
                <w:lang w:eastAsia="en-US"/>
              </w:rPr>
              <w:drawing>
                <wp:inline distT="0" distB="0" distL="0" distR="0" wp14:anchorId="179701A5" wp14:editId="1C2E1C87">
                  <wp:extent cx="5503905" cy="2138680"/>
                  <wp:effectExtent l="0" t="0" r="1905"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14:paraId="1A0B33BD" w14:textId="77777777" w:rsidR="00860B68" w:rsidRPr="00860B68" w:rsidRDefault="00860B68" w:rsidP="00860B68">
      <w:pPr>
        <w:pStyle w:val="Title"/>
        <w:spacing w:after="0"/>
        <w:jc w:val="both"/>
        <w:outlineLvl w:val="9"/>
        <w:rPr>
          <w:rFonts w:asciiTheme="majorBidi" w:hAnsiTheme="majorBidi" w:cstheme="majorBidi"/>
          <w:color w:val="000000" w:themeColor="text1"/>
          <w:sz w:val="28"/>
          <w:szCs w:val="28"/>
        </w:rPr>
      </w:pPr>
      <w:bookmarkStart w:id="0" w:name="OLE_LINK1"/>
    </w:p>
    <w:p w14:paraId="57774234" w14:textId="79F3D3A4" w:rsidR="00614413" w:rsidRPr="0091230A" w:rsidRDefault="00614413" w:rsidP="00860B68">
      <w:pPr>
        <w:pStyle w:val="Title"/>
        <w:spacing w:after="0"/>
        <w:jc w:val="both"/>
        <w:outlineLvl w:val="9"/>
        <w:rPr>
          <w:rFonts w:asciiTheme="majorBidi" w:hAnsiTheme="majorBidi" w:cstheme="majorBidi"/>
          <w:color w:val="000000" w:themeColor="text1"/>
          <w:sz w:val="24"/>
          <w:szCs w:val="24"/>
        </w:rPr>
      </w:pPr>
      <w:r w:rsidRPr="0091230A">
        <w:rPr>
          <w:rFonts w:asciiTheme="majorBidi" w:hAnsiTheme="majorBidi" w:cstheme="majorBidi"/>
          <w:color w:val="000000" w:themeColor="text1"/>
          <w:sz w:val="24"/>
          <w:szCs w:val="24"/>
        </w:rPr>
        <w:t>2.</w:t>
      </w:r>
      <w:r>
        <w:rPr>
          <w:rFonts w:asciiTheme="majorBidi" w:hAnsiTheme="majorBidi" w:cstheme="majorBidi"/>
          <w:color w:val="000000" w:themeColor="text1"/>
          <w:sz w:val="24"/>
          <w:szCs w:val="24"/>
        </w:rPr>
        <w:t>4</w:t>
      </w:r>
      <w:r w:rsidRPr="0091230A">
        <w:rPr>
          <w:rFonts w:asciiTheme="majorBidi" w:hAnsiTheme="majorBidi" w:cstheme="majorBidi"/>
          <w:color w:val="000000" w:themeColor="text1"/>
          <w:sz w:val="24"/>
          <w:szCs w:val="24"/>
        </w:rPr>
        <w:t xml:space="preserve"> Current Expenditure on Health by Function of Health Care</w:t>
      </w:r>
    </w:p>
    <w:p w14:paraId="1533B0B7" w14:textId="1C232EB7" w:rsidR="00614413" w:rsidRPr="0091230A" w:rsidRDefault="00614413" w:rsidP="00614413">
      <w:pPr>
        <w:pStyle w:val="Title"/>
        <w:spacing w:after="0"/>
        <w:jc w:val="both"/>
        <w:outlineLvl w:val="9"/>
        <w:rPr>
          <w:rFonts w:asciiTheme="majorBidi" w:hAnsiTheme="majorBidi" w:cstheme="majorBidi"/>
          <w:b w:val="0"/>
          <w:bCs w:val="0"/>
          <w:color w:val="000000"/>
          <w:sz w:val="24"/>
          <w:szCs w:val="24"/>
        </w:rPr>
      </w:pPr>
      <w:r w:rsidRPr="0091230A">
        <w:rPr>
          <w:rFonts w:asciiTheme="majorBidi" w:hAnsiTheme="majorBidi" w:cstheme="majorBidi"/>
          <w:b w:val="0"/>
          <w:bCs w:val="0"/>
          <w:color w:val="000000" w:themeColor="text1"/>
          <w:sz w:val="24"/>
          <w:szCs w:val="24"/>
        </w:rPr>
        <w:t>The highest p</w:t>
      </w:r>
      <w:r w:rsidR="000B664B">
        <w:rPr>
          <w:rFonts w:asciiTheme="majorBidi" w:hAnsiTheme="majorBidi" w:cstheme="majorBidi"/>
          <w:b w:val="0"/>
          <w:bCs w:val="0"/>
          <w:color w:val="000000" w:themeColor="text1"/>
          <w:sz w:val="24"/>
          <w:szCs w:val="24"/>
        </w:rPr>
        <w:t>roportion of health expenditure</w:t>
      </w:r>
      <w:r w:rsidRPr="0091230A">
        <w:rPr>
          <w:rFonts w:asciiTheme="majorBidi" w:hAnsiTheme="majorBidi" w:cstheme="majorBidi"/>
          <w:b w:val="0"/>
          <w:bCs w:val="0"/>
          <w:color w:val="000000" w:themeColor="text1"/>
          <w:sz w:val="24"/>
          <w:szCs w:val="24"/>
        </w:rPr>
        <w:t xml:space="preserve"> was spent on curative care (inpatient curative care and outpatient curative care) accounting for 7</w:t>
      </w:r>
      <w:r>
        <w:rPr>
          <w:rFonts w:asciiTheme="majorBidi" w:hAnsiTheme="majorBidi" w:cstheme="majorBidi"/>
          <w:b w:val="0"/>
          <w:bCs w:val="0"/>
          <w:color w:val="000000" w:themeColor="text1"/>
          <w:sz w:val="24"/>
          <w:szCs w:val="24"/>
        </w:rPr>
        <w:t>5.5</w:t>
      </w:r>
      <w:r w:rsidRPr="0091230A">
        <w:rPr>
          <w:rFonts w:asciiTheme="majorBidi" w:hAnsiTheme="majorBidi" w:cstheme="majorBidi"/>
          <w:b w:val="0"/>
          <w:bCs w:val="0"/>
          <w:color w:val="000000" w:themeColor="text1"/>
          <w:sz w:val="24"/>
          <w:szCs w:val="24"/>
        </w:rPr>
        <w:t xml:space="preserve">% out </w:t>
      </w:r>
      <w:r w:rsidR="000B664B">
        <w:rPr>
          <w:rFonts w:asciiTheme="majorBidi" w:hAnsiTheme="majorBidi" w:cstheme="majorBidi"/>
          <w:b w:val="0"/>
          <w:bCs w:val="0"/>
          <w:color w:val="000000" w:themeColor="text1"/>
          <w:sz w:val="24"/>
          <w:szCs w:val="24"/>
        </w:rPr>
        <w:t>of the total health expenditure</w:t>
      </w:r>
      <w:r w:rsidRPr="0091230A">
        <w:rPr>
          <w:rFonts w:asciiTheme="majorBidi" w:hAnsiTheme="majorBidi" w:cstheme="majorBidi"/>
          <w:b w:val="0"/>
          <w:bCs w:val="0"/>
          <w:color w:val="000000" w:themeColor="text1"/>
          <w:sz w:val="24"/>
          <w:szCs w:val="24"/>
        </w:rPr>
        <w:t xml:space="preserve"> in 20</w:t>
      </w:r>
      <w:r w:rsidRPr="0091230A">
        <w:rPr>
          <w:rFonts w:asciiTheme="majorBidi" w:hAnsiTheme="majorBidi" w:cstheme="majorBidi"/>
          <w:b w:val="0"/>
          <w:bCs w:val="0"/>
          <w:color w:val="000000" w:themeColor="text1"/>
          <w:sz w:val="24"/>
          <w:szCs w:val="24"/>
          <w:rtl/>
        </w:rPr>
        <w:t>2</w:t>
      </w:r>
      <w:r>
        <w:rPr>
          <w:rFonts w:asciiTheme="majorBidi" w:hAnsiTheme="majorBidi" w:cstheme="majorBidi"/>
          <w:b w:val="0"/>
          <w:bCs w:val="0"/>
          <w:color w:val="000000" w:themeColor="text1"/>
          <w:sz w:val="24"/>
          <w:szCs w:val="24"/>
        </w:rPr>
        <w:t>2</w:t>
      </w:r>
      <w:r w:rsidRPr="0091230A">
        <w:rPr>
          <w:rFonts w:asciiTheme="majorBidi" w:hAnsiTheme="majorBidi" w:cstheme="majorBidi"/>
          <w:b w:val="0"/>
          <w:bCs w:val="0"/>
          <w:color w:val="000000" w:themeColor="text1"/>
          <w:sz w:val="24"/>
          <w:szCs w:val="24"/>
        </w:rPr>
        <w:t>, followed by medical goods with 16.</w:t>
      </w:r>
      <w:r>
        <w:rPr>
          <w:rFonts w:asciiTheme="majorBidi" w:hAnsiTheme="majorBidi" w:cstheme="majorBidi"/>
          <w:b w:val="0"/>
          <w:bCs w:val="0"/>
          <w:color w:val="000000" w:themeColor="text1"/>
          <w:sz w:val="24"/>
          <w:szCs w:val="24"/>
        </w:rPr>
        <w:t>5</w:t>
      </w:r>
      <w:r w:rsidRPr="0091230A">
        <w:rPr>
          <w:rFonts w:asciiTheme="majorBidi" w:hAnsiTheme="majorBidi" w:cstheme="majorBidi"/>
          <w:b w:val="0"/>
          <w:bCs w:val="0"/>
          <w:color w:val="000000" w:themeColor="text1"/>
          <w:sz w:val="24"/>
          <w:szCs w:val="24"/>
        </w:rPr>
        <w:t>%. The small</w:t>
      </w:r>
      <w:r w:rsidR="000B664B">
        <w:rPr>
          <w:rFonts w:asciiTheme="majorBidi" w:hAnsiTheme="majorBidi" w:cstheme="majorBidi"/>
          <w:b w:val="0"/>
          <w:bCs w:val="0"/>
          <w:color w:val="000000" w:themeColor="text1"/>
          <w:sz w:val="24"/>
          <w:szCs w:val="24"/>
        </w:rPr>
        <w:t>est contribution of expenditure</w:t>
      </w:r>
      <w:r w:rsidRPr="0091230A">
        <w:rPr>
          <w:rFonts w:asciiTheme="majorBidi" w:hAnsiTheme="majorBidi" w:cstheme="majorBidi"/>
          <w:b w:val="0"/>
          <w:bCs w:val="0"/>
          <w:color w:val="000000" w:themeColor="text1"/>
          <w:sz w:val="24"/>
          <w:szCs w:val="24"/>
        </w:rPr>
        <w:t xml:space="preserve"> was 0.</w:t>
      </w:r>
      <w:r>
        <w:rPr>
          <w:rFonts w:asciiTheme="majorBidi" w:hAnsiTheme="majorBidi" w:cstheme="majorBidi"/>
          <w:b w:val="0"/>
          <w:bCs w:val="0"/>
          <w:color w:val="000000" w:themeColor="text1"/>
          <w:sz w:val="24"/>
          <w:szCs w:val="24"/>
        </w:rPr>
        <w:t>5</w:t>
      </w:r>
      <w:r w:rsidRPr="0091230A">
        <w:rPr>
          <w:rFonts w:asciiTheme="majorBidi" w:hAnsiTheme="majorBidi" w:cstheme="majorBidi"/>
          <w:b w:val="0"/>
          <w:bCs w:val="0"/>
          <w:color w:val="000000" w:themeColor="text1"/>
          <w:sz w:val="24"/>
          <w:szCs w:val="24"/>
        </w:rPr>
        <w:t>% on rehabilitative care and 0.</w:t>
      </w:r>
      <w:r>
        <w:rPr>
          <w:rFonts w:asciiTheme="majorBidi" w:hAnsiTheme="majorBidi" w:cstheme="majorBidi"/>
          <w:b w:val="0"/>
          <w:bCs w:val="0"/>
          <w:color w:val="000000" w:themeColor="text1"/>
          <w:sz w:val="24"/>
          <w:szCs w:val="24"/>
        </w:rPr>
        <w:t>2</w:t>
      </w:r>
      <w:r w:rsidRPr="0091230A">
        <w:rPr>
          <w:rFonts w:asciiTheme="majorBidi" w:hAnsiTheme="majorBidi" w:cstheme="majorBidi"/>
          <w:b w:val="0"/>
          <w:bCs w:val="0"/>
          <w:color w:val="000000" w:themeColor="text1"/>
          <w:sz w:val="24"/>
          <w:szCs w:val="24"/>
        </w:rPr>
        <w:t xml:space="preserve">% for the long-term care. </w:t>
      </w:r>
      <w:r w:rsidRPr="0091230A">
        <w:rPr>
          <w:rFonts w:asciiTheme="majorBidi" w:hAnsiTheme="majorBidi" w:cstheme="majorBidi"/>
          <w:b w:val="0"/>
          <w:bCs w:val="0"/>
          <w:color w:val="000000"/>
          <w:sz w:val="24"/>
          <w:szCs w:val="24"/>
        </w:rPr>
        <w:t>(See table 8).</w:t>
      </w:r>
    </w:p>
    <w:p w14:paraId="7B0F1E90" w14:textId="77777777" w:rsidR="00614413" w:rsidRPr="0091230A" w:rsidRDefault="00614413" w:rsidP="00614413">
      <w:pPr>
        <w:pStyle w:val="Title"/>
        <w:spacing w:after="0"/>
        <w:jc w:val="both"/>
        <w:outlineLvl w:val="9"/>
        <w:rPr>
          <w:rFonts w:asciiTheme="majorBidi" w:hAnsiTheme="majorBidi" w:cstheme="majorBidi"/>
          <w:b w:val="0"/>
          <w:bCs w:val="0"/>
          <w:color w:val="000000" w:themeColor="text1"/>
          <w:sz w:val="24"/>
          <w:szCs w:val="24"/>
          <w:rtl/>
        </w:rPr>
      </w:pPr>
    </w:p>
    <w:p w14:paraId="0E148276" w14:textId="77777777" w:rsidR="00614413" w:rsidRDefault="00614413" w:rsidP="00614413">
      <w:pPr>
        <w:pStyle w:val="Title"/>
        <w:spacing w:after="0"/>
        <w:jc w:val="both"/>
        <w:outlineLvl w:val="9"/>
        <w:rPr>
          <w:rFonts w:asciiTheme="majorBidi" w:hAnsiTheme="majorBidi" w:cstheme="majorBidi"/>
          <w:color w:val="000000" w:themeColor="text1"/>
          <w:sz w:val="24"/>
          <w:szCs w:val="24"/>
        </w:rPr>
      </w:pPr>
      <w:r w:rsidRPr="005C4DAF">
        <w:rPr>
          <w:rFonts w:asciiTheme="majorBidi" w:hAnsiTheme="majorBidi" w:cstheme="majorBidi"/>
          <w:color w:val="000000" w:themeColor="text1"/>
          <w:sz w:val="24"/>
          <w:szCs w:val="24"/>
        </w:rPr>
        <w:t>2.</w:t>
      </w:r>
      <w:r>
        <w:rPr>
          <w:rFonts w:asciiTheme="majorBidi" w:hAnsiTheme="majorBidi" w:cstheme="majorBidi"/>
          <w:color w:val="000000" w:themeColor="text1"/>
          <w:sz w:val="24"/>
          <w:szCs w:val="24"/>
        </w:rPr>
        <w:t>5</w:t>
      </w:r>
      <w:r w:rsidRPr="005C4DAF">
        <w:rPr>
          <w:rFonts w:asciiTheme="majorBidi" w:hAnsiTheme="majorBidi" w:cstheme="majorBidi"/>
          <w:color w:val="000000" w:themeColor="text1"/>
          <w:sz w:val="24"/>
          <w:szCs w:val="24"/>
        </w:rPr>
        <w:t xml:space="preserve"> </w:t>
      </w:r>
      <w:r w:rsidRPr="00F71153">
        <w:rPr>
          <w:rFonts w:ascii="Times New Roman" w:eastAsiaTheme="minorEastAsia"/>
          <w:color w:val="000000" w:themeColor="text1"/>
          <w:kern w:val="0"/>
          <w:sz w:val="24"/>
          <w:szCs w:val="24"/>
          <w:lang w:val="en-US" w:eastAsia="ar-SA" w:bidi="ar-SA"/>
        </w:rPr>
        <w:t>Current Expenditure on Health</w:t>
      </w:r>
      <w:r>
        <w:rPr>
          <w:rFonts w:ascii="Times New Roman" w:eastAsiaTheme="minorEastAsia"/>
          <w:color w:val="000000" w:themeColor="text1"/>
          <w:kern w:val="0"/>
          <w:sz w:val="24"/>
          <w:szCs w:val="24"/>
          <w:lang w:val="en-US" w:eastAsia="ar-SA" w:bidi="ar-SA"/>
        </w:rPr>
        <w:t xml:space="preserve"> </w:t>
      </w:r>
      <w:r w:rsidRPr="007657E2">
        <w:rPr>
          <w:rFonts w:asciiTheme="majorBidi" w:hAnsiTheme="majorBidi" w:cstheme="majorBidi"/>
          <w:color w:val="000000" w:themeColor="text1"/>
          <w:sz w:val="24"/>
          <w:szCs w:val="24"/>
        </w:rPr>
        <w:t xml:space="preserve">by </w:t>
      </w:r>
      <w:r w:rsidRPr="00F71153">
        <w:rPr>
          <w:rFonts w:ascii="Times New Roman" w:eastAsiaTheme="minorEastAsia"/>
          <w:color w:val="000000" w:themeColor="text1"/>
          <w:kern w:val="0"/>
          <w:sz w:val="24"/>
          <w:szCs w:val="24"/>
          <w:lang w:val="en-US" w:eastAsia="ar-SA" w:bidi="ar-SA"/>
        </w:rPr>
        <w:t>Health C</w:t>
      </w:r>
      <w:r w:rsidRPr="00F71153">
        <w:rPr>
          <w:rFonts w:asciiTheme="majorBidi" w:hAnsiTheme="majorBidi" w:cstheme="majorBidi"/>
          <w:color w:val="000000" w:themeColor="text1"/>
          <w:sz w:val="24"/>
          <w:szCs w:val="24"/>
        </w:rPr>
        <w:t>are</w:t>
      </w:r>
      <w:r w:rsidRPr="005C4DAF">
        <w:rPr>
          <w:rFonts w:asciiTheme="majorBidi" w:hAnsiTheme="majorBidi" w:cstheme="majorBidi"/>
          <w:color w:val="000000" w:themeColor="text1"/>
          <w:sz w:val="24"/>
          <w:szCs w:val="24"/>
        </w:rPr>
        <w:t xml:space="preserve"> Provider</w:t>
      </w:r>
      <w:r w:rsidRPr="005C4DAF">
        <w:rPr>
          <w:rStyle w:val="FootnoteReference"/>
          <w:rFonts w:asciiTheme="majorBidi" w:hAnsiTheme="majorBidi" w:cstheme="majorBidi"/>
          <w:color w:val="000000" w:themeColor="text1"/>
          <w:sz w:val="24"/>
          <w:szCs w:val="24"/>
        </w:rPr>
        <w:footnoteReference w:id="1"/>
      </w:r>
    </w:p>
    <w:p w14:paraId="43DD9DFE" w14:textId="77777777" w:rsidR="00614413" w:rsidRDefault="00614413" w:rsidP="00614413">
      <w:pPr>
        <w:bidi w:val="0"/>
        <w:jc w:val="both"/>
        <w:rPr>
          <w:color w:val="000000" w:themeColor="text1"/>
        </w:rPr>
      </w:pPr>
      <w:r w:rsidRPr="002242C5">
        <w:rPr>
          <w:color w:val="000000" w:themeColor="text1"/>
        </w:rPr>
        <w:t>Hospitals (</w:t>
      </w:r>
      <w:r w:rsidRPr="006D4726">
        <w:rPr>
          <w:color w:val="000000" w:themeColor="text1"/>
        </w:rPr>
        <w:t>general hos</w:t>
      </w:r>
      <w:r w:rsidRPr="002242C5">
        <w:rPr>
          <w:color w:val="000000" w:themeColor="text1"/>
        </w:rPr>
        <w:t xml:space="preserve">pitals, mental health hospitals, </w:t>
      </w:r>
      <w:r w:rsidRPr="006D4726">
        <w:rPr>
          <w:color w:val="000000" w:themeColor="text1"/>
        </w:rPr>
        <w:t>specialized hospitals</w:t>
      </w:r>
      <w:r>
        <w:rPr>
          <w:color w:val="000000" w:themeColor="text1"/>
        </w:rPr>
        <w:t xml:space="preserve"> and </w:t>
      </w:r>
      <w:r w:rsidRPr="002242C5">
        <w:rPr>
          <w:color w:val="000000" w:themeColor="text1"/>
        </w:rPr>
        <w:t>u</w:t>
      </w:r>
      <w:r w:rsidRPr="00B976D0">
        <w:rPr>
          <w:color w:val="000000" w:themeColor="text1"/>
        </w:rPr>
        <w:t>nspecified hospital</w:t>
      </w:r>
      <w:r>
        <w:rPr>
          <w:color w:val="000000" w:themeColor="text1"/>
        </w:rPr>
        <w:t>s</w:t>
      </w:r>
      <w:r w:rsidRPr="002242C5">
        <w:rPr>
          <w:color w:val="000000" w:themeColor="text1"/>
        </w:rPr>
        <w:t>)</w:t>
      </w:r>
      <w:r>
        <w:rPr>
          <w:color w:val="000000" w:themeColor="text1"/>
        </w:rPr>
        <w:t xml:space="preserve"> had</w:t>
      </w:r>
      <w:r w:rsidRPr="006D4726">
        <w:rPr>
          <w:color w:val="000000" w:themeColor="text1"/>
        </w:rPr>
        <w:t xml:space="preserve"> the highest</w:t>
      </w:r>
      <w:r>
        <w:rPr>
          <w:color w:val="000000" w:themeColor="text1"/>
        </w:rPr>
        <w:t xml:space="preserve"> place</w:t>
      </w:r>
      <w:r w:rsidRPr="006D4726">
        <w:rPr>
          <w:color w:val="000000" w:themeColor="text1"/>
        </w:rPr>
        <w:t xml:space="preserve"> in </w:t>
      </w:r>
      <w:r w:rsidRPr="007E2356">
        <w:rPr>
          <w:color w:val="000000" w:themeColor="text1"/>
        </w:rPr>
        <w:t>contribution</w:t>
      </w:r>
      <w:r>
        <w:rPr>
          <w:color w:val="000000" w:themeColor="text1"/>
        </w:rPr>
        <w:t>s</w:t>
      </w:r>
      <w:r w:rsidRPr="006D4726">
        <w:rPr>
          <w:color w:val="000000" w:themeColor="text1"/>
        </w:rPr>
        <w:t xml:space="preserve"> </w:t>
      </w:r>
      <w:r>
        <w:rPr>
          <w:color w:val="000000" w:themeColor="text1"/>
        </w:rPr>
        <w:t>o</w:t>
      </w:r>
      <w:r w:rsidRPr="006D4726">
        <w:rPr>
          <w:color w:val="000000" w:themeColor="text1"/>
        </w:rPr>
        <w:t>n current health expenditure</w:t>
      </w:r>
      <w:r w:rsidRPr="002242C5">
        <w:rPr>
          <w:color w:val="000000" w:themeColor="text1"/>
        </w:rPr>
        <w:t xml:space="preserve"> with</w:t>
      </w:r>
      <w:r>
        <w:rPr>
          <w:color w:val="000000" w:themeColor="text1"/>
        </w:rPr>
        <w:t xml:space="preserve"> a percentage of 42.3%</w:t>
      </w:r>
      <w:r w:rsidRPr="002242C5">
        <w:rPr>
          <w:color w:val="000000" w:themeColor="text1"/>
        </w:rPr>
        <w:t xml:space="preserve"> and </w:t>
      </w:r>
      <w:r>
        <w:rPr>
          <w:color w:val="000000" w:themeColor="text1"/>
        </w:rPr>
        <w:t>43.8</w:t>
      </w:r>
      <w:r w:rsidRPr="002242C5">
        <w:rPr>
          <w:color w:val="000000" w:themeColor="text1"/>
        </w:rPr>
        <w:t xml:space="preserve">% in </w:t>
      </w:r>
      <w:r>
        <w:rPr>
          <w:rFonts w:hint="cs"/>
          <w:color w:val="000000" w:themeColor="text1"/>
          <w:rtl/>
        </w:rPr>
        <w:t>20</w:t>
      </w:r>
      <w:r>
        <w:rPr>
          <w:color w:val="000000" w:themeColor="text1"/>
        </w:rPr>
        <w:t>21</w:t>
      </w:r>
      <w:r w:rsidRPr="002242C5">
        <w:rPr>
          <w:color w:val="000000" w:themeColor="text1"/>
        </w:rPr>
        <w:t xml:space="preserve"> and </w:t>
      </w:r>
      <w:r>
        <w:rPr>
          <w:rFonts w:hint="cs"/>
          <w:color w:val="000000" w:themeColor="text1"/>
          <w:rtl/>
        </w:rPr>
        <w:t>202</w:t>
      </w:r>
      <w:r>
        <w:rPr>
          <w:color w:val="000000" w:themeColor="text1"/>
        </w:rPr>
        <w:t xml:space="preserve">2, </w:t>
      </w:r>
      <w:r w:rsidRPr="006D4726">
        <w:rPr>
          <w:color w:val="000000" w:themeColor="text1"/>
        </w:rPr>
        <w:t>respectively.</w:t>
      </w:r>
      <w:r w:rsidRPr="002242C5">
        <w:rPr>
          <w:color w:val="000000" w:themeColor="text1"/>
        </w:rPr>
        <w:t xml:space="preserve"> </w:t>
      </w:r>
      <w:proofErr w:type="gramStart"/>
      <w:r>
        <w:rPr>
          <w:color w:val="000000" w:themeColor="text1"/>
        </w:rPr>
        <w:t>This was followed by r</w:t>
      </w:r>
      <w:r w:rsidRPr="00203828">
        <w:rPr>
          <w:color w:val="000000" w:themeColor="text1"/>
        </w:rPr>
        <w:t xml:space="preserve">etailers and </w:t>
      </w:r>
      <w:r>
        <w:rPr>
          <w:color w:val="000000" w:themeColor="text1"/>
        </w:rPr>
        <w:t>ot</w:t>
      </w:r>
      <w:r w:rsidRPr="00203828">
        <w:rPr>
          <w:color w:val="000000" w:themeColor="text1"/>
        </w:rPr>
        <w:t xml:space="preserve">her </w:t>
      </w:r>
      <w:r>
        <w:rPr>
          <w:color w:val="000000" w:themeColor="text1"/>
        </w:rPr>
        <w:t>p</w:t>
      </w:r>
      <w:r w:rsidRPr="00203828">
        <w:rPr>
          <w:color w:val="000000" w:themeColor="text1"/>
        </w:rPr>
        <w:t xml:space="preserve">roviders of </w:t>
      </w:r>
      <w:r>
        <w:rPr>
          <w:color w:val="000000" w:themeColor="text1"/>
        </w:rPr>
        <w:t>m</w:t>
      </w:r>
      <w:r w:rsidRPr="00203828">
        <w:rPr>
          <w:color w:val="000000" w:themeColor="text1"/>
        </w:rPr>
        <w:t xml:space="preserve">edical </w:t>
      </w:r>
      <w:r>
        <w:rPr>
          <w:color w:val="000000" w:themeColor="text1"/>
        </w:rPr>
        <w:t>g</w:t>
      </w:r>
      <w:r w:rsidRPr="00203828">
        <w:rPr>
          <w:color w:val="000000" w:themeColor="text1"/>
        </w:rPr>
        <w:t>oods</w:t>
      </w:r>
      <w:r>
        <w:rPr>
          <w:color w:val="000000" w:themeColor="text1"/>
        </w:rPr>
        <w:t xml:space="preserve"> that</w:t>
      </w:r>
      <w:r w:rsidRPr="00203828">
        <w:rPr>
          <w:color w:val="000000" w:themeColor="text1"/>
        </w:rPr>
        <w:t xml:space="preserve"> </w:t>
      </w:r>
      <w:r w:rsidRPr="002242C5">
        <w:rPr>
          <w:color w:val="000000" w:themeColor="text1"/>
        </w:rPr>
        <w:t>reached</w:t>
      </w:r>
      <w:r>
        <w:rPr>
          <w:color w:val="000000" w:themeColor="text1"/>
        </w:rPr>
        <w:t xml:space="preserve"> 16</w:t>
      </w:r>
      <w:r w:rsidRPr="002242C5">
        <w:rPr>
          <w:color w:val="000000" w:themeColor="text1"/>
        </w:rPr>
        <w:t>%</w:t>
      </w:r>
      <w:r>
        <w:rPr>
          <w:color w:val="000000" w:themeColor="text1"/>
        </w:rPr>
        <w:t>, 16.3%</w:t>
      </w:r>
      <w:r w:rsidRPr="002242C5">
        <w:rPr>
          <w:color w:val="000000" w:themeColor="text1"/>
        </w:rPr>
        <w:t xml:space="preserve"> in </w:t>
      </w:r>
      <w:r>
        <w:rPr>
          <w:rFonts w:hint="cs"/>
          <w:color w:val="000000" w:themeColor="text1"/>
          <w:rtl/>
        </w:rPr>
        <w:t>20</w:t>
      </w:r>
      <w:r>
        <w:rPr>
          <w:color w:val="000000" w:themeColor="text1"/>
        </w:rPr>
        <w:t>21</w:t>
      </w:r>
      <w:r w:rsidRPr="002242C5">
        <w:rPr>
          <w:color w:val="000000" w:themeColor="text1"/>
        </w:rPr>
        <w:t xml:space="preserve"> </w:t>
      </w:r>
      <w:r>
        <w:rPr>
          <w:color w:val="000000" w:themeColor="text1"/>
        </w:rPr>
        <w:t>and</w:t>
      </w:r>
      <w:r w:rsidRPr="002242C5">
        <w:rPr>
          <w:color w:val="000000" w:themeColor="text1"/>
        </w:rPr>
        <w:t xml:space="preserve"> </w:t>
      </w:r>
      <w:r>
        <w:rPr>
          <w:rFonts w:hint="cs"/>
          <w:color w:val="000000" w:themeColor="text1"/>
          <w:rtl/>
        </w:rPr>
        <w:t>20</w:t>
      </w:r>
      <w:r>
        <w:rPr>
          <w:color w:val="000000" w:themeColor="text1"/>
        </w:rPr>
        <w:t>22, r</w:t>
      </w:r>
      <w:r w:rsidRPr="006D4726">
        <w:rPr>
          <w:color w:val="000000" w:themeColor="text1"/>
        </w:rPr>
        <w:t>espectively</w:t>
      </w:r>
      <w:proofErr w:type="gramEnd"/>
      <w:r w:rsidRPr="002242C5">
        <w:rPr>
          <w:color w:val="000000" w:themeColor="text1"/>
        </w:rPr>
        <w:t xml:space="preserve">. </w:t>
      </w:r>
      <w:r>
        <w:rPr>
          <w:color w:val="000000" w:themeColor="text1"/>
        </w:rPr>
        <w:t xml:space="preserve">The smallest </w:t>
      </w:r>
      <w:r w:rsidRPr="007E2356">
        <w:rPr>
          <w:color w:val="000000" w:themeColor="text1"/>
        </w:rPr>
        <w:t>contribution</w:t>
      </w:r>
      <w:r>
        <w:rPr>
          <w:color w:val="000000" w:themeColor="text1"/>
        </w:rPr>
        <w:t xml:space="preserve"> of</w:t>
      </w:r>
      <w:r>
        <w:t xml:space="preserve"> </w:t>
      </w:r>
      <w:r>
        <w:rPr>
          <w:color w:val="000000" w:themeColor="text1"/>
        </w:rPr>
        <w:t>p</w:t>
      </w:r>
      <w:r w:rsidRPr="005F358B">
        <w:rPr>
          <w:color w:val="000000" w:themeColor="text1"/>
        </w:rPr>
        <w:t>roviders of preventive care</w:t>
      </w:r>
      <w:r>
        <w:rPr>
          <w:color w:val="000000" w:themeColor="text1"/>
        </w:rPr>
        <w:t xml:space="preserve"> was 0.4% in 2021 and 20</w:t>
      </w:r>
      <w:r>
        <w:rPr>
          <w:rFonts w:hint="cs"/>
          <w:color w:val="000000" w:themeColor="text1"/>
          <w:rtl/>
        </w:rPr>
        <w:t>2</w:t>
      </w:r>
      <w:r>
        <w:rPr>
          <w:color w:val="000000" w:themeColor="text1"/>
        </w:rPr>
        <w:t xml:space="preserve">2 </w:t>
      </w:r>
      <w:r w:rsidRPr="002242C5">
        <w:rPr>
          <w:color w:val="000000" w:themeColor="text1"/>
        </w:rPr>
        <w:t xml:space="preserve">(See table </w:t>
      </w:r>
      <w:r>
        <w:rPr>
          <w:color w:val="000000" w:themeColor="text1"/>
        </w:rPr>
        <w:t>6</w:t>
      </w:r>
      <w:r w:rsidRPr="002242C5">
        <w:rPr>
          <w:color w:val="000000" w:themeColor="text1"/>
        </w:rPr>
        <w:t>)</w:t>
      </w:r>
      <w:r>
        <w:rPr>
          <w:color w:val="000000" w:themeColor="text1"/>
        </w:rPr>
        <w:t>.</w:t>
      </w:r>
    </w:p>
    <w:p w14:paraId="2802EACC" w14:textId="77777777" w:rsidR="00614413" w:rsidRPr="00860B68" w:rsidRDefault="00614413" w:rsidP="00614413">
      <w:pPr>
        <w:bidi w:val="0"/>
        <w:jc w:val="both"/>
        <w:rPr>
          <w:color w:val="000000" w:themeColor="text1"/>
          <w:sz w:val="16"/>
          <w:szCs w:val="16"/>
        </w:rPr>
      </w:pPr>
    </w:p>
    <w:p w14:paraId="12F65F91" w14:textId="77777777" w:rsidR="00614413" w:rsidRPr="009D6DC6" w:rsidRDefault="00614413" w:rsidP="00614413">
      <w:pPr>
        <w:bidi w:val="0"/>
        <w:jc w:val="both"/>
        <w:rPr>
          <w:color w:val="000000" w:themeColor="text1"/>
        </w:rPr>
      </w:pPr>
      <w:r>
        <w:rPr>
          <w:color w:val="000000"/>
        </w:rPr>
        <w:t>The results indicate that the total</w:t>
      </w:r>
      <w:r w:rsidRPr="002242C5">
        <w:rPr>
          <w:color w:val="000000" w:themeColor="text1"/>
        </w:rPr>
        <w:t xml:space="preserve"> expenditure </w:t>
      </w:r>
      <w:r>
        <w:rPr>
          <w:color w:val="000000" w:themeColor="text1"/>
        </w:rPr>
        <w:t>on</w:t>
      </w:r>
      <w:r w:rsidRPr="002242C5">
        <w:rPr>
          <w:color w:val="000000" w:themeColor="text1"/>
        </w:rPr>
        <w:t xml:space="preserve"> ambulatory health care centers</w:t>
      </w:r>
      <w:r w:rsidRPr="002242C5">
        <w:rPr>
          <w:rFonts w:hint="cs"/>
          <w:color w:val="000000" w:themeColor="text1"/>
          <w:rtl/>
        </w:rPr>
        <w:t xml:space="preserve"> </w:t>
      </w:r>
      <w:r>
        <w:rPr>
          <w:color w:val="000000" w:themeColor="text1"/>
        </w:rPr>
        <w:t xml:space="preserve">reached 15.4% </w:t>
      </w:r>
      <w:r w:rsidRPr="002242C5">
        <w:rPr>
          <w:color w:val="000000" w:themeColor="text1"/>
        </w:rPr>
        <w:t xml:space="preserve">in </w:t>
      </w:r>
      <w:r>
        <w:rPr>
          <w:color w:val="000000" w:themeColor="text1"/>
        </w:rPr>
        <w:t xml:space="preserve">2022 </w:t>
      </w:r>
      <w:r w:rsidRPr="002242C5">
        <w:rPr>
          <w:color w:val="000000" w:themeColor="text1"/>
        </w:rPr>
        <w:t xml:space="preserve">(See table </w:t>
      </w:r>
      <w:r>
        <w:rPr>
          <w:color w:val="000000" w:themeColor="text1"/>
        </w:rPr>
        <w:t>6</w:t>
      </w:r>
      <w:r w:rsidRPr="002242C5">
        <w:rPr>
          <w:color w:val="000000" w:themeColor="text1"/>
        </w:rPr>
        <w:t>)</w:t>
      </w:r>
      <w:r>
        <w:rPr>
          <w:color w:val="000000" w:themeColor="text1"/>
        </w:rPr>
        <w:t>.</w:t>
      </w:r>
    </w:p>
    <w:p w14:paraId="10BCEDC8" w14:textId="77777777" w:rsidR="00614413" w:rsidRDefault="00614413" w:rsidP="00614413">
      <w:pPr>
        <w:bidi w:val="0"/>
        <w:jc w:val="center"/>
        <w:rPr>
          <w:rFonts w:ascii="Arial" w:hAnsi="Arial" w:cs="Arial"/>
          <w:b/>
          <w:bCs/>
          <w:color w:val="000000"/>
          <w:sz w:val="22"/>
          <w:szCs w:val="22"/>
        </w:rPr>
      </w:pPr>
    </w:p>
    <w:p w14:paraId="3DC8B8C3" w14:textId="77777777" w:rsidR="00860B68" w:rsidRDefault="00614413" w:rsidP="00614413">
      <w:pPr>
        <w:bidi w:val="0"/>
        <w:jc w:val="center"/>
        <w:rPr>
          <w:rFonts w:ascii="Arial" w:hAnsi="Arial" w:cs="Arial"/>
          <w:b/>
          <w:bCs/>
          <w:color w:val="000000"/>
          <w:sz w:val="22"/>
          <w:szCs w:val="22"/>
        </w:rPr>
      </w:pPr>
      <w:r w:rsidRPr="00793C55">
        <w:rPr>
          <w:rFonts w:ascii="Arial" w:hAnsi="Arial" w:cs="Arial"/>
          <w:b/>
          <w:bCs/>
          <w:color w:val="000000"/>
          <w:sz w:val="22"/>
          <w:szCs w:val="22"/>
        </w:rPr>
        <w:t xml:space="preserve">Percentage Distribution of Total Current </w:t>
      </w:r>
      <w:r>
        <w:rPr>
          <w:rFonts w:ascii="Arial" w:hAnsi="Arial" w:cs="Arial"/>
          <w:b/>
          <w:bCs/>
          <w:color w:val="000000"/>
          <w:sz w:val="22"/>
          <w:szCs w:val="22"/>
        </w:rPr>
        <w:t xml:space="preserve">Health </w:t>
      </w:r>
      <w:r w:rsidRPr="00793C55">
        <w:rPr>
          <w:rFonts w:ascii="Arial" w:hAnsi="Arial" w:cs="Arial"/>
          <w:b/>
          <w:bCs/>
          <w:color w:val="000000"/>
          <w:sz w:val="22"/>
          <w:szCs w:val="22"/>
        </w:rPr>
        <w:t xml:space="preserve">Expenditure by </w:t>
      </w:r>
      <w:r w:rsidRPr="004D2061">
        <w:rPr>
          <w:rFonts w:ascii="Arial" w:hAnsi="Arial" w:cs="Arial"/>
          <w:b/>
          <w:bCs/>
          <w:color w:val="000000"/>
          <w:sz w:val="22"/>
          <w:szCs w:val="22"/>
        </w:rPr>
        <w:t>Health Care Provider</w:t>
      </w:r>
    </w:p>
    <w:p w14:paraId="44F0126A" w14:textId="19827B81" w:rsidR="00614413" w:rsidRPr="00793C55" w:rsidRDefault="00614413" w:rsidP="00860B68">
      <w:pPr>
        <w:bidi w:val="0"/>
        <w:jc w:val="center"/>
        <w:rPr>
          <w:rFonts w:ascii="Arial" w:hAnsi="Arial" w:cs="Arial"/>
          <w:b/>
          <w:bCs/>
          <w:color w:val="000000"/>
          <w:sz w:val="22"/>
          <w:szCs w:val="22"/>
        </w:rPr>
      </w:pPr>
      <w:r w:rsidRPr="00793C55">
        <w:rPr>
          <w:rFonts w:ascii="Arial" w:hAnsi="Arial" w:cs="Arial"/>
          <w:b/>
          <w:bCs/>
          <w:color w:val="000000"/>
          <w:sz w:val="22"/>
          <w:szCs w:val="22"/>
        </w:rPr>
        <w:t xml:space="preserve"> </w:t>
      </w:r>
      <w:proofErr w:type="gramStart"/>
      <w:r>
        <w:rPr>
          <w:rFonts w:ascii="Arial" w:hAnsi="Arial" w:cs="Arial"/>
          <w:b/>
          <w:bCs/>
          <w:color w:val="000000"/>
          <w:sz w:val="22"/>
          <w:szCs w:val="22"/>
        </w:rPr>
        <w:t>in</w:t>
      </w:r>
      <w:proofErr w:type="gramEnd"/>
      <w:r>
        <w:rPr>
          <w:rFonts w:ascii="Arial" w:hAnsi="Arial" w:cs="Arial"/>
          <w:b/>
          <w:bCs/>
          <w:color w:val="000000"/>
          <w:sz w:val="22"/>
          <w:szCs w:val="22"/>
        </w:rPr>
        <w:t xml:space="preserve"> Palestine, 2021-20</w:t>
      </w:r>
      <w:r>
        <w:rPr>
          <w:rFonts w:ascii="Arial" w:hAnsi="Arial" w:cs="Arial" w:hint="cs"/>
          <w:b/>
          <w:bCs/>
          <w:color w:val="000000"/>
          <w:sz w:val="22"/>
          <w:szCs w:val="22"/>
          <w:rtl/>
        </w:rPr>
        <w:t>2</w:t>
      </w:r>
      <w:r>
        <w:rPr>
          <w:rFonts w:ascii="Arial" w:hAnsi="Arial" w:cs="Arial"/>
          <w:b/>
          <w:bCs/>
          <w:color w:val="000000"/>
          <w:sz w:val="22"/>
          <w:szCs w:val="22"/>
        </w:rPr>
        <w:t>2</w:t>
      </w:r>
    </w:p>
    <w:tbl>
      <w:tblPr>
        <w:tblStyle w:val="TableGrid"/>
        <w:tblW w:w="0" w:type="auto"/>
        <w:jc w:val="center"/>
        <w:tblLayout w:type="fixed"/>
        <w:tblLook w:val="04A0" w:firstRow="1" w:lastRow="0" w:firstColumn="1" w:lastColumn="0" w:noHBand="0" w:noVBand="1"/>
      </w:tblPr>
      <w:tblGrid>
        <w:gridCol w:w="8905"/>
      </w:tblGrid>
      <w:tr w:rsidR="00614413" w14:paraId="05B604F0" w14:textId="77777777" w:rsidTr="00860B68">
        <w:trPr>
          <w:trHeight w:val="4198"/>
          <w:jc w:val="center"/>
        </w:trPr>
        <w:tc>
          <w:tcPr>
            <w:tcW w:w="8905" w:type="dxa"/>
            <w:vAlign w:val="center"/>
          </w:tcPr>
          <w:p w14:paraId="48FF503D" w14:textId="77777777" w:rsidR="00614413" w:rsidRPr="00DA7F8E" w:rsidRDefault="00614413" w:rsidP="00F96327">
            <w:pPr>
              <w:bidi w:val="0"/>
              <w:spacing w:line="276" w:lineRule="auto"/>
              <w:jc w:val="center"/>
              <w:rPr>
                <w:rFonts w:ascii="Arial" w:hAnsi="Arial" w:cs="Arial"/>
                <w:color w:val="000000"/>
              </w:rPr>
            </w:pPr>
            <w:r w:rsidRPr="00DA7F8E">
              <w:rPr>
                <w:rFonts w:ascii="Arial" w:hAnsi="Arial" w:cs="Arial"/>
                <w:noProof/>
                <w:color w:val="000000"/>
                <w:sz w:val="18"/>
                <w:szCs w:val="18"/>
                <w:lang w:eastAsia="en-US"/>
              </w:rPr>
              <w:drawing>
                <wp:inline distT="0" distB="0" distL="0" distR="0" wp14:anchorId="47864D27" wp14:editId="784A87A8">
                  <wp:extent cx="5626100" cy="2619632"/>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0CD37E1B" w14:textId="77777777" w:rsidR="00614413" w:rsidRPr="00124068" w:rsidRDefault="00614413" w:rsidP="00614413">
      <w:pPr>
        <w:bidi w:val="0"/>
        <w:spacing w:line="276" w:lineRule="auto"/>
        <w:rPr>
          <w:color w:val="000000"/>
          <w:sz w:val="16"/>
          <w:szCs w:val="16"/>
        </w:rPr>
      </w:pPr>
      <w:r w:rsidRPr="00124068">
        <w:rPr>
          <w:b/>
          <w:bCs/>
          <w:color w:val="000000"/>
        </w:rPr>
        <w:lastRenderedPageBreak/>
        <w:t>2.</w:t>
      </w:r>
      <w:r>
        <w:rPr>
          <w:b/>
          <w:bCs/>
          <w:color w:val="000000"/>
        </w:rPr>
        <w:t>6</w:t>
      </w:r>
      <w:r w:rsidRPr="00124068">
        <w:rPr>
          <w:b/>
          <w:bCs/>
          <w:color w:val="000000"/>
        </w:rPr>
        <w:t xml:space="preserve"> Percentage of</w:t>
      </w:r>
      <w:r>
        <w:rPr>
          <w:b/>
          <w:bCs/>
          <w:color w:val="000000"/>
        </w:rPr>
        <w:t xml:space="preserve"> Total Current</w:t>
      </w:r>
      <w:r w:rsidRPr="00124068">
        <w:rPr>
          <w:b/>
          <w:bCs/>
          <w:color w:val="000000"/>
        </w:rPr>
        <w:t xml:space="preserve"> Health Expenditure to Gross Domestic Product (GDP)</w:t>
      </w:r>
      <w:r>
        <w:rPr>
          <w:rStyle w:val="FootnoteReference"/>
          <w:b/>
          <w:bCs/>
          <w:color w:val="000000"/>
        </w:rPr>
        <w:footnoteReference w:id="2"/>
      </w:r>
    </w:p>
    <w:p w14:paraId="28999911" w14:textId="77777777" w:rsidR="00614413" w:rsidRDefault="00614413" w:rsidP="00614413">
      <w:pPr>
        <w:pStyle w:val="NormalWeb"/>
        <w:spacing w:before="0" w:beforeAutospacing="0" w:after="0" w:afterAutospacing="0"/>
        <w:jc w:val="both"/>
        <w:rPr>
          <w:rFonts w:ascii="Times New Roman" w:hAnsi="Times New Roman" w:cs="Times New Roman"/>
          <w:color w:val="000000" w:themeColor="text1"/>
        </w:rPr>
      </w:pPr>
      <w:r w:rsidRPr="00524DAE">
        <w:rPr>
          <w:rFonts w:ascii="Times New Roman" w:hAnsi="Times New Roman" w:cs="Times New Roman"/>
          <w:color w:val="000000" w:themeColor="text1"/>
        </w:rPr>
        <w:t xml:space="preserve">The percentage of </w:t>
      </w:r>
      <w:r>
        <w:rPr>
          <w:rFonts w:ascii="Times New Roman" w:hAnsi="Times New Roman" w:cs="Times New Roman"/>
          <w:color w:val="000000" w:themeColor="text1"/>
        </w:rPr>
        <w:t xml:space="preserve">current </w:t>
      </w:r>
      <w:r w:rsidRPr="00524DAE">
        <w:rPr>
          <w:rFonts w:ascii="Times New Roman" w:hAnsi="Times New Roman" w:cs="Times New Roman"/>
          <w:color w:val="000000" w:themeColor="text1"/>
        </w:rPr>
        <w:t xml:space="preserve">health expenditure </w:t>
      </w:r>
      <w:r>
        <w:rPr>
          <w:rFonts w:ascii="Times New Roman" w:hAnsi="Times New Roman" w:cs="Times New Roman"/>
          <w:color w:val="000000" w:themeColor="text1"/>
        </w:rPr>
        <w:t xml:space="preserve">to </w:t>
      </w:r>
      <w:r w:rsidRPr="00524DAE">
        <w:rPr>
          <w:rFonts w:ascii="Times New Roman" w:hAnsi="Times New Roman" w:cs="Times New Roman"/>
          <w:color w:val="000000" w:themeColor="text1"/>
        </w:rPr>
        <w:t xml:space="preserve">Gross Domestic Product (GDP) in Palestine at current prices was </w:t>
      </w:r>
      <w:r>
        <w:rPr>
          <w:rFonts w:ascii="Times New Roman" w:hAnsi="Times New Roman" w:cs="Times New Roman"/>
          <w:color w:val="000000" w:themeColor="text1"/>
        </w:rPr>
        <w:t>9.4</w:t>
      </w:r>
      <w:r w:rsidRPr="00524DAE">
        <w:rPr>
          <w:rFonts w:ascii="Times New Roman" w:hAnsi="Times New Roman" w:cs="Times New Roman"/>
          <w:color w:val="000000" w:themeColor="text1"/>
        </w:rPr>
        <w:t xml:space="preserve">% in </w:t>
      </w:r>
      <w:r>
        <w:rPr>
          <w:rFonts w:ascii="Times New Roman" w:hAnsi="Times New Roman" w:cs="Times New Roman"/>
          <w:color w:val="000000" w:themeColor="text1"/>
        </w:rPr>
        <w:t>20</w:t>
      </w:r>
      <w:r>
        <w:rPr>
          <w:rFonts w:ascii="Times New Roman" w:hAnsi="Times New Roman" w:cs="Times New Roman" w:hint="cs"/>
          <w:color w:val="000000" w:themeColor="text1"/>
          <w:rtl/>
        </w:rPr>
        <w:t>2</w:t>
      </w:r>
      <w:r>
        <w:rPr>
          <w:rFonts w:ascii="Times New Roman" w:hAnsi="Times New Roman" w:cs="Times New Roman"/>
          <w:color w:val="000000" w:themeColor="text1"/>
        </w:rPr>
        <w:t>2</w:t>
      </w:r>
      <w:r w:rsidRPr="00524DAE">
        <w:rPr>
          <w:rFonts w:ascii="Times New Roman" w:hAnsi="Times New Roman" w:cs="Times New Roman"/>
          <w:color w:val="000000" w:themeColor="text1"/>
        </w:rPr>
        <w:t xml:space="preserve"> and </w:t>
      </w:r>
      <w:r>
        <w:rPr>
          <w:rFonts w:ascii="Times New Roman" w:hAnsi="Times New Roman" w:cs="Times New Roman"/>
          <w:color w:val="000000" w:themeColor="text1"/>
        </w:rPr>
        <w:t>10.4</w:t>
      </w:r>
      <w:r w:rsidRPr="00524DAE">
        <w:rPr>
          <w:rFonts w:ascii="Times New Roman" w:hAnsi="Times New Roman" w:cs="Times New Roman"/>
          <w:color w:val="000000" w:themeColor="text1"/>
        </w:rPr>
        <w:t xml:space="preserve">% in </w:t>
      </w:r>
      <w:r>
        <w:rPr>
          <w:rFonts w:ascii="Times New Roman" w:hAnsi="Times New Roman" w:cs="Times New Roman"/>
          <w:color w:val="000000" w:themeColor="text1"/>
        </w:rPr>
        <w:t>2021</w:t>
      </w:r>
      <w:r w:rsidRPr="00524DAE">
        <w:rPr>
          <w:rFonts w:ascii="Times New Roman" w:hAnsi="Times New Roman" w:cs="Times New Roman"/>
          <w:color w:val="000000" w:themeColor="text1"/>
        </w:rPr>
        <w:t>. (See table 1)</w:t>
      </w:r>
    </w:p>
    <w:p w14:paraId="2791F10D" w14:textId="77777777" w:rsidR="00614413" w:rsidRPr="00860B68" w:rsidRDefault="00614413" w:rsidP="00614413">
      <w:pPr>
        <w:pStyle w:val="NormalWeb"/>
        <w:spacing w:before="0" w:beforeAutospacing="0" w:after="0" w:afterAutospacing="0"/>
        <w:jc w:val="both"/>
        <w:rPr>
          <w:rFonts w:ascii="Times New Roman" w:hAnsi="Times New Roman" w:cs="Times New Roman"/>
          <w:color w:val="000000" w:themeColor="text1"/>
          <w:sz w:val="16"/>
          <w:szCs w:val="16"/>
        </w:rPr>
      </w:pPr>
    </w:p>
    <w:p w14:paraId="24D94B54" w14:textId="77777777" w:rsidR="00614413" w:rsidRPr="00524DAE" w:rsidRDefault="00614413" w:rsidP="00614413">
      <w:pPr>
        <w:pStyle w:val="NormalWeb"/>
        <w:spacing w:before="0" w:beforeAutospacing="0" w:after="0" w:afterAutospacing="0"/>
        <w:jc w:val="both"/>
        <w:rPr>
          <w:rFonts w:ascii="Times New Roman" w:hAnsi="Times New Roman" w:cs="Times New Roman"/>
          <w:color w:val="000000" w:themeColor="text1"/>
        </w:rPr>
      </w:pPr>
      <w:r w:rsidRPr="00524DAE">
        <w:rPr>
          <w:rFonts w:ascii="Times New Roman" w:hAnsi="Times New Roman" w:cs="Times New Roman"/>
          <w:color w:val="000000" w:themeColor="text1"/>
        </w:rPr>
        <w:t xml:space="preserve">Total health expenditure per capita was USD </w:t>
      </w:r>
      <w:r>
        <w:rPr>
          <w:rFonts w:ascii="Times New Roman" w:hAnsi="Times New Roman" w:cs="Times New Roman"/>
          <w:color w:val="000000" w:themeColor="text1"/>
        </w:rPr>
        <w:t>368.8</w:t>
      </w:r>
      <w:r w:rsidRPr="00524DAE">
        <w:rPr>
          <w:rFonts w:ascii="Times New Roman" w:hAnsi="Times New Roman" w:cs="Times New Roman"/>
          <w:color w:val="000000" w:themeColor="text1"/>
        </w:rPr>
        <w:t xml:space="preserve"> in </w:t>
      </w:r>
      <w:r>
        <w:rPr>
          <w:rFonts w:ascii="Times New Roman" w:hAnsi="Times New Roman" w:cs="Times New Roman" w:hint="cs"/>
          <w:color w:val="000000" w:themeColor="text1"/>
          <w:rtl/>
        </w:rPr>
        <w:t>202</w:t>
      </w:r>
      <w:r>
        <w:rPr>
          <w:rFonts w:ascii="Times New Roman" w:hAnsi="Times New Roman" w:cs="Times New Roman"/>
          <w:color w:val="000000" w:themeColor="text1"/>
        </w:rPr>
        <w:t>2</w:t>
      </w:r>
      <w:r w:rsidRPr="00524DAE">
        <w:rPr>
          <w:rFonts w:ascii="Times New Roman" w:hAnsi="Times New Roman" w:cs="Times New Roman"/>
          <w:color w:val="000000" w:themeColor="text1"/>
        </w:rPr>
        <w:t xml:space="preserve"> and USD </w:t>
      </w:r>
      <w:r>
        <w:rPr>
          <w:rFonts w:ascii="Times New Roman" w:hAnsi="Times New Roman" w:cs="Times New Roman" w:hint="cs"/>
          <w:color w:val="000000" w:themeColor="text1"/>
          <w:rtl/>
        </w:rPr>
        <w:t>3</w:t>
      </w:r>
      <w:r>
        <w:rPr>
          <w:rFonts w:ascii="Times New Roman" w:hAnsi="Times New Roman" w:cs="Times New Roman"/>
          <w:color w:val="000000" w:themeColor="text1"/>
        </w:rPr>
        <w:t>83.9</w:t>
      </w:r>
      <w:r w:rsidRPr="00524DAE">
        <w:rPr>
          <w:rFonts w:ascii="Times New Roman" w:hAnsi="Times New Roman" w:cs="Times New Roman"/>
          <w:color w:val="000000" w:themeColor="text1"/>
        </w:rPr>
        <w:t xml:space="preserve"> in </w:t>
      </w:r>
      <w:r>
        <w:rPr>
          <w:rFonts w:ascii="Times New Roman" w:hAnsi="Times New Roman" w:cs="Times New Roman" w:hint="cs"/>
          <w:color w:val="000000" w:themeColor="text1"/>
          <w:rtl/>
        </w:rPr>
        <w:t>20</w:t>
      </w:r>
      <w:r>
        <w:rPr>
          <w:rFonts w:ascii="Times New Roman" w:hAnsi="Times New Roman" w:cs="Times New Roman"/>
          <w:color w:val="000000" w:themeColor="text1"/>
        </w:rPr>
        <w:t>21</w:t>
      </w:r>
      <w:r w:rsidRPr="00524DAE">
        <w:rPr>
          <w:rFonts w:ascii="Times New Roman" w:hAnsi="Times New Roman" w:cs="Times New Roman"/>
          <w:color w:val="000000" w:themeColor="text1"/>
        </w:rPr>
        <w:t>.</w:t>
      </w:r>
    </w:p>
    <w:p w14:paraId="3F2B938E" w14:textId="77777777" w:rsidR="00614413" w:rsidRPr="00524DAE" w:rsidRDefault="00614413" w:rsidP="00614413">
      <w:pPr>
        <w:pStyle w:val="Subtitle"/>
        <w:rPr>
          <w:rFonts w:ascii="Times New Roman" w:hAnsi="Times New Roman"/>
          <w:color w:val="000000" w:themeColor="text1"/>
          <w:sz w:val="24"/>
          <w:szCs w:val="24"/>
        </w:rPr>
      </w:pPr>
    </w:p>
    <w:p w14:paraId="7B70F4E2" w14:textId="77777777" w:rsidR="00614413" w:rsidRDefault="00614413" w:rsidP="00614413">
      <w:pPr>
        <w:bidi w:val="0"/>
        <w:jc w:val="center"/>
        <w:rPr>
          <w:rFonts w:ascii="Arial" w:hAnsi="Arial" w:cs="Arial"/>
          <w:b/>
          <w:bCs/>
          <w:color w:val="000000"/>
          <w:sz w:val="22"/>
          <w:szCs w:val="22"/>
        </w:rPr>
      </w:pPr>
      <w:r w:rsidRPr="00F71153">
        <w:rPr>
          <w:rFonts w:ascii="Arial" w:hAnsi="Arial" w:cs="Arial"/>
          <w:b/>
          <w:bCs/>
          <w:color w:val="000000"/>
          <w:sz w:val="22"/>
          <w:szCs w:val="22"/>
        </w:rPr>
        <w:t xml:space="preserve">Total Health Expenditure and GDP at Current Prices in Palestine, </w:t>
      </w:r>
      <w:r>
        <w:rPr>
          <w:rFonts w:ascii="Arial" w:hAnsi="Arial" w:cs="Arial"/>
          <w:b/>
          <w:bCs/>
          <w:color w:val="000000"/>
          <w:sz w:val="22"/>
          <w:szCs w:val="22"/>
        </w:rPr>
        <w:t>2021-2022</w:t>
      </w:r>
    </w:p>
    <w:tbl>
      <w:tblPr>
        <w:tblStyle w:val="TableGrid"/>
        <w:tblW w:w="0" w:type="auto"/>
        <w:jc w:val="center"/>
        <w:tblLook w:val="04A0" w:firstRow="1" w:lastRow="0" w:firstColumn="1" w:lastColumn="0" w:noHBand="0" w:noVBand="1"/>
      </w:tblPr>
      <w:tblGrid>
        <w:gridCol w:w="9061"/>
      </w:tblGrid>
      <w:tr w:rsidR="00614413" w14:paraId="4C53F72B" w14:textId="77777777" w:rsidTr="00860B68">
        <w:trPr>
          <w:trHeight w:val="3794"/>
          <w:jc w:val="center"/>
        </w:trPr>
        <w:tc>
          <w:tcPr>
            <w:tcW w:w="9061" w:type="dxa"/>
            <w:vAlign w:val="center"/>
          </w:tcPr>
          <w:p w14:paraId="376F8527" w14:textId="77777777" w:rsidR="00614413" w:rsidRPr="00860B68" w:rsidRDefault="00614413" w:rsidP="00860B68">
            <w:pPr>
              <w:bidi w:val="0"/>
              <w:spacing w:after="200" w:line="276" w:lineRule="auto"/>
              <w:jc w:val="center"/>
              <w:rPr>
                <w:rFonts w:ascii="Arial" w:hAnsi="Arial" w:cs="Arial"/>
                <w:color w:val="000000"/>
                <w:sz w:val="2"/>
                <w:szCs w:val="2"/>
              </w:rPr>
            </w:pPr>
            <w:r>
              <w:rPr>
                <w:rFonts w:ascii="Arial" w:hAnsi="Arial" w:cs="Arial"/>
                <w:noProof/>
                <w:color w:val="000000"/>
                <w:sz w:val="22"/>
                <w:szCs w:val="22"/>
                <w:lang w:eastAsia="en-US"/>
              </w:rPr>
              <w:drawing>
                <wp:inline distT="0" distB="0" distL="0" distR="0" wp14:anchorId="7ABD0FD1" wp14:editId="466D2ED9">
                  <wp:extent cx="5513070" cy="2314832"/>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bookmarkEnd w:id="0"/>
    </w:tbl>
    <w:p w14:paraId="4C3E09D5" w14:textId="77777777" w:rsidR="00614413" w:rsidRDefault="00614413" w:rsidP="00614413">
      <w:pPr>
        <w:bidi w:val="0"/>
        <w:spacing w:line="276" w:lineRule="auto"/>
        <w:jc w:val="center"/>
        <w:rPr>
          <w:color w:val="000000"/>
        </w:rPr>
      </w:pPr>
    </w:p>
    <w:p w14:paraId="030C08B9" w14:textId="5A3AA7FC" w:rsidR="00614413" w:rsidRDefault="00614413">
      <w:pPr>
        <w:bidi w:val="0"/>
        <w:spacing w:after="200" w:line="276" w:lineRule="auto"/>
        <w:rPr>
          <w:color w:val="000000"/>
        </w:rPr>
      </w:pPr>
      <w:r>
        <w:rPr>
          <w:color w:val="000000"/>
        </w:rPr>
        <w:br w:type="page"/>
      </w:r>
    </w:p>
    <w:p w14:paraId="125754B0" w14:textId="77777777" w:rsidR="00860B68" w:rsidRDefault="00860B68">
      <w:pPr>
        <w:bidi w:val="0"/>
        <w:spacing w:after="200" w:line="276" w:lineRule="auto"/>
        <w:rPr>
          <w:color w:val="000000"/>
        </w:rPr>
      </w:pPr>
      <w:r>
        <w:rPr>
          <w:color w:val="000000"/>
        </w:rPr>
        <w:lastRenderedPageBreak/>
        <w:br w:type="page"/>
      </w:r>
    </w:p>
    <w:p w14:paraId="440D8252" w14:textId="1C0BF8DF" w:rsidR="00CE6C69" w:rsidRPr="00AB0969" w:rsidRDefault="00CE6C69" w:rsidP="00614413">
      <w:pPr>
        <w:bidi w:val="0"/>
        <w:spacing w:line="276" w:lineRule="auto"/>
        <w:jc w:val="center"/>
        <w:rPr>
          <w:color w:val="000000"/>
        </w:rPr>
      </w:pPr>
      <w:r w:rsidRPr="00AB0969">
        <w:rPr>
          <w:color w:val="000000"/>
        </w:rPr>
        <w:lastRenderedPageBreak/>
        <w:t xml:space="preserve">Chapter </w:t>
      </w:r>
      <w:r>
        <w:rPr>
          <w:color w:val="000000"/>
        </w:rPr>
        <w:t>Three</w:t>
      </w:r>
    </w:p>
    <w:p w14:paraId="554D6293" w14:textId="77777777" w:rsidR="00CE6C69" w:rsidRPr="005D5FA8" w:rsidRDefault="00CE6C69" w:rsidP="00CE6C69">
      <w:pPr>
        <w:pStyle w:val="Heading1"/>
        <w:tabs>
          <w:tab w:val="right" w:pos="3600"/>
        </w:tabs>
        <w:rPr>
          <w:color w:val="000000"/>
          <w:sz w:val="24"/>
          <w:szCs w:val="24"/>
        </w:rPr>
      </w:pPr>
    </w:p>
    <w:p w14:paraId="14CB72A1" w14:textId="77777777" w:rsidR="00CE6C69" w:rsidRDefault="00CE6C69" w:rsidP="00CE6C69">
      <w:pPr>
        <w:pStyle w:val="Heading1"/>
        <w:tabs>
          <w:tab w:val="right" w:pos="3600"/>
        </w:tabs>
        <w:rPr>
          <w:color w:val="000000"/>
          <w:szCs w:val="28"/>
        </w:rPr>
      </w:pPr>
      <w:r>
        <w:rPr>
          <w:color w:val="000000"/>
          <w:szCs w:val="28"/>
        </w:rPr>
        <w:t xml:space="preserve">Methodology </w:t>
      </w:r>
    </w:p>
    <w:p w14:paraId="5BF93A11" w14:textId="77777777" w:rsidR="00CE6C69" w:rsidRPr="003B58EC" w:rsidRDefault="00CE6C69" w:rsidP="00CE6C69">
      <w:pPr>
        <w:pStyle w:val="Heading1"/>
        <w:jc w:val="left"/>
        <w:rPr>
          <w:color w:val="000000"/>
          <w:sz w:val="24"/>
          <w:szCs w:val="24"/>
        </w:rPr>
      </w:pPr>
    </w:p>
    <w:p w14:paraId="03358522" w14:textId="5773FA81" w:rsidR="00CE6C69" w:rsidRPr="003B58EC" w:rsidRDefault="00CE6C69" w:rsidP="005B3619">
      <w:pPr>
        <w:pStyle w:val="BodyText2"/>
        <w:rPr>
          <w:lang w:eastAsia="en-US"/>
        </w:rPr>
      </w:pPr>
      <w:r w:rsidRPr="003B58EC">
        <w:rPr>
          <w:lang w:eastAsia="en-US"/>
        </w:rPr>
        <w:t xml:space="preserve">The methodology used to compile the Palestinian Health Accounts at current prices for </w:t>
      </w:r>
      <w:r w:rsidR="005B3619">
        <w:rPr>
          <w:lang w:eastAsia="en-US"/>
        </w:rPr>
        <w:t>202</w:t>
      </w:r>
      <w:r w:rsidR="003D1656">
        <w:rPr>
          <w:lang w:eastAsia="en-US"/>
        </w:rPr>
        <w:t>1</w:t>
      </w:r>
      <w:r w:rsidR="002376A8">
        <w:rPr>
          <w:lang w:eastAsia="en-US"/>
        </w:rPr>
        <w:t xml:space="preserve">, </w:t>
      </w:r>
      <w:r w:rsidR="005B3619">
        <w:rPr>
          <w:lang w:eastAsia="en-US"/>
        </w:rPr>
        <w:t>202</w:t>
      </w:r>
      <w:r w:rsidR="003D1656">
        <w:rPr>
          <w:lang w:eastAsia="en-US"/>
        </w:rPr>
        <w:t>2</w:t>
      </w:r>
      <w:r w:rsidRPr="003B58EC">
        <w:rPr>
          <w:lang w:eastAsia="en-US"/>
        </w:rPr>
        <w:t xml:space="preserve"> </w:t>
      </w:r>
      <w:r>
        <w:rPr>
          <w:lang w:eastAsia="en-US"/>
        </w:rPr>
        <w:t>is</w:t>
      </w:r>
      <w:r w:rsidRPr="003B58EC">
        <w:rPr>
          <w:lang w:eastAsia="en-US"/>
        </w:rPr>
        <w:t xml:space="preserve"> based on data tabulation, in addition to processing data from all available sources to measure expenditure by health service provider</w:t>
      </w:r>
      <w:r>
        <w:rPr>
          <w:lang w:eastAsia="en-US"/>
        </w:rPr>
        <w:t>s</w:t>
      </w:r>
      <w:r w:rsidRPr="003B58EC">
        <w:rPr>
          <w:lang w:eastAsia="en-US"/>
        </w:rPr>
        <w:t xml:space="preserve"> and f</w:t>
      </w:r>
      <w:r>
        <w:rPr>
          <w:lang w:eastAsia="en-US"/>
        </w:rPr>
        <w:t>inanc</w:t>
      </w:r>
      <w:r w:rsidRPr="003B58EC">
        <w:rPr>
          <w:lang w:eastAsia="en-US"/>
        </w:rPr>
        <w:t xml:space="preserve">ing </w:t>
      </w:r>
      <w:r>
        <w:rPr>
          <w:lang w:eastAsia="en-US"/>
        </w:rPr>
        <w:t>schemes</w:t>
      </w:r>
      <w:r w:rsidRPr="003B58EC">
        <w:rPr>
          <w:lang w:eastAsia="en-US"/>
        </w:rPr>
        <w:t>.</w:t>
      </w:r>
    </w:p>
    <w:p w14:paraId="37410C7E" w14:textId="77777777" w:rsidR="00CE6C69" w:rsidRPr="003B58EC" w:rsidRDefault="00CE6C69" w:rsidP="00CE6C69">
      <w:pPr>
        <w:pStyle w:val="Heading1"/>
        <w:jc w:val="both"/>
        <w:rPr>
          <w:color w:val="000000"/>
          <w:sz w:val="24"/>
          <w:szCs w:val="24"/>
          <w:lang w:eastAsia="en-GB"/>
        </w:rPr>
      </w:pPr>
    </w:p>
    <w:p w14:paraId="55891EE2" w14:textId="77777777" w:rsidR="00CE6C69" w:rsidRPr="003B58EC" w:rsidRDefault="00CE6C69" w:rsidP="00CE6C69">
      <w:pPr>
        <w:pStyle w:val="Heading1"/>
        <w:jc w:val="left"/>
        <w:rPr>
          <w:color w:val="000000"/>
          <w:sz w:val="24"/>
          <w:szCs w:val="24"/>
          <w:lang w:eastAsia="en-GB"/>
        </w:rPr>
      </w:pPr>
      <w:r w:rsidRPr="003B58EC">
        <w:rPr>
          <w:color w:val="000000"/>
          <w:sz w:val="24"/>
          <w:szCs w:val="24"/>
          <w:lang w:eastAsia="en-GB"/>
        </w:rPr>
        <w:t>3.1 General Overview</w:t>
      </w:r>
    </w:p>
    <w:p w14:paraId="08729E2B" w14:textId="77777777" w:rsidR="00CE6C69" w:rsidRPr="003B58EC" w:rsidRDefault="00CE6C69" w:rsidP="00CE6C69">
      <w:pPr>
        <w:bidi w:val="0"/>
        <w:rPr>
          <w:sz w:val="16"/>
          <w:szCs w:val="16"/>
          <w:rtl/>
          <w:lang w:val="en-GB"/>
        </w:rPr>
      </w:pPr>
    </w:p>
    <w:p w14:paraId="302A97D6" w14:textId="77777777" w:rsidR="00CE6C69" w:rsidRPr="00816BE6" w:rsidRDefault="00CE6C69" w:rsidP="00CE6C69">
      <w:pPr>
        <w:pStyle w:val="ListParagraph"/>
        <w:numPr>
          <w:ilvl w:val="2"/>
          <w:numId w:val="11"/>
        </w:numPr>
        <w:bidi w:val="0"/>
        <w:ind w:left="567" w:hanging="567"/>
        <w:jc w:val="lowKashida"/>
        <w:rPr>
          <w:b/>
          <w:bCs/>
          <w:color w:val="000000" w:themeColor="text1"/>
        </w:rPr>
      </w:pPr>
      <w:r w:rsidRPr="00816BE6">
        <w:rPr>
          <w:b/>
          <w:bCs/>
          <w:color w:val="000000" w:themeColor="text1"/>
          <w:lang w:eastAsia="en-GB"/>
        </w:rPr>
        <w:t>Framework of Palestinian Health Accounts</w:t>
      </w:r>
    </w:p>
    <w:p w14:paraId="6D0FB9C4" w14:textId="77777777" w:rsidR="00CE6C69" w:rsidRDefault="00CE6C69" w:rsidP="00711F5B">
      <w:pPr>
        <w:pStyle w:val="ListParagraph"/>
        <w:numPr>
          <w:ilvl w:val="0"/>
          <w:numId w:val="10"/>
        </w:numPr>
        <w:bidi w:val="0"/>
        <w:ind w:left="426" w:hanging="284"/>
        <w:jc w:val="lowKashida"/>
        <w:rPr>
          <w:color w:val="000000" w:themeColor="text1"/>
        </w:rPr>
      </w:pPr>
      <w:r w:rsidRPr="00816BE6">
        <w:rPr>
          <w:color w:val="000000" w:themeColor="text1"/>
        </w:rPr>
        <w:t xml:space="preserve">Updating of data sources according to the latest available administrative records from government, in addition to population </w:t>
      </w:r>
      <w:r w:rsidR="002376A8" w:rsidRPr="00816BE6">
        <w:rPr>
          <w:color w:val="000000" w:themeColor="text1"/>
        </w:rPr>
        <w:t>estimates</w:t>
      </w:r>
      <w:r w:rsidR="002376A8">
        <w:rPr>
          <w:rFonts w:hint="cs"/>
          <w:color w:val="000000" w:themeColor="text1"/>
          <w:rtl/>
        </w:rPr>
        <w:t xml:space="preserve"> </w:t>
      </w:r>
      <w:r w:rsidR="002376A8">
        <w:rPr>
          <w:color w:val="000000" w:themeColor="text1"/>
        </w:rPr>
        <w:t>according</w:t>
      </w:r>
      <w:r w:rsidR="00592359">
        <w:rPr>
          <w:color w:val="000000" w:themeColor="text1"/>
        </w:rPr>
        <w:t xml:space="preserve"> to the Population, Housing, and Establishments census 2017</w:t>
      </w:r>
      <w:r w:rsidRPr="00816BE6">
        <w:rPr>
          <w:color w:val="000000" w:themeColor="text1"/>
        </w:rPr>
        <w:t>.</w:t>
      </w:r>
    </w:p>
    <w:p w14:paraId="0F5689EB" w14:textId="77777777" w:rsidR="00CE6C69" w:rsidRDefault="00CE6C69" w:rsidP="00592359">
      <w:pPr>
        <w:pStyle w:val="ListParagraph"/>
        <w:numPr>
          <w:ilvl w:val="0"/>
          <w:numId w:val="10"/>
        </w:numPr>
        <w:bidi w:val="0"/>
        <w:ind w:left="426" w:hanging="284"/>
        <w:jc w:val="lowKashida"/>
        <w:rPr>
          <w:color w:val="000000" w:themeColor="text1"/>
        </w:rPr>
      </w:pPr>
      <w:r w:rsidRPr="00816BE6">
        <w:rPr>
          <w:color w:val="000000" w:themeColor="text1"/>
        </w:rPr>
        <w:t>Harmonizing the methodolog</w:t>
      </w:r>
      <w:r w:rsidR="00592359">
        <w:rPr>
          <w:color w:val="000000" w:themeColor="text1"/>
        </w:rPr>
        <w:t>y</w:t>
      </w:r>
      <w:r w:rsidRPr="00816BE6">
        <w:rPr>
          <w:color w:val="000000" w:themeColor="text1"/>
        </w:rPr>
        <w:t xml:space="preserve"> </w:t>
      </w:r>
      <w:r w:rsidR="00592359">
        <w:rPr>
          <w:color w:val="000000" w:themeColor="text1"/>
        </w:rPr>
        <w:t>during different years which assure</w:t>
      </w:r>
      <w:r w:rsidRPr="00816BE6">
        <w:rPr>
          <w:color w:val="000000" w:themeColor="text1"/>
        </w:rPr>
        <w:t xml:space="preserve"> consistency and data comparison.</w:t>
      </w:r>
    </w:p>
    <w:p w14:paraId="05F5BDA3" w14:textId="77777777" w:rsidR="00CE6C69" w:rsidRPr="00816BE6" w:rsidRDefault="00CE6C69" w:rsidP="00CE6C69">
      <w:pPr>
        <w:pStyle w:val="ListParagraph"/>
        <w:numPr>
          <w:ilvl w:val="0"/>
          <w:numId w:val="10"/>
        </w:numPr>
        <w:bidi w:val="0"/>
        <w:ind w:left="426" w:hanging="284"/>
        <w:jc w:val="lowKashida"/>
        <w:rPr>
          <w:color w:val="000000" w:themeColor="text1"/>
        </w:rPr>
      </w:pPr>
      <w:r w:rsidRPr="00816BE6">
        <w:rPr>
          <w:color w:val="000000" w:themeColor="text1"/>
        </w:rPr>
        <w:t>Unifying the coverage of data.</w:t>
      </w:r>
    </w:p>
    <w:p w14:paraId="3F78D1B5" w14:textId="77777777" w:rsidR="00CE6C69" w:rsidRPr="00140214" w:rsidRDefault="00CE6C69" w:rsidP="00CE6C69">
      <w:pPr>
        <w:pStyle w:val="Heading1"/>
        <w:jc w:val="left"/>
        <w:rPr>
          <w:color w:val="FF0000"/>
          <w:sz w:val="24"/>
          <w:szCs w:val="24"/>
        </w:rPr>
      </w:pPr>
    </w:p>
    <w:p w14:paraId="1911EF23" w14:textId="77777777" w:rsidR="00CE6C69" w:rsidRPr="00816BE6" w:rsidRDefault="00CE6C69" w:rsidP="00CE6C69">
      <w:pPr>
        <w:pStyle w:val="ListParagraph"/>
        <w:numPr>
          <w:ilvl w:val="2"/>
          <w:numId w:val="10"/>
        </w:numPr>
        <w:bidi w:val="0"/>
        <w:ind w:left="567" w:hanging="567"/>
        <w:jc w:val="both"/>
        <w:rPr>
          <w:b/>
          <w:bCs/>
          <w:color w:val="000000" w:themeColor="text1"/>
          <w:lang w:eastAsia="en-US"/>
        </w:rPr>
      </w:pPr>
      <w:r w:rsidRPr="00816BE6">
        <w:rPr>
          <w:b/>
          <w:bCs/>
          <w:color w:val="000000" w:themeColor="text1"/>
          <w:lang w:eastAsia="en-GB"/>
        </w:rPr>
        <w:t>Geographical Coverage</w:t>
      </w:r>
    </w:p>
    <w:p w14:paraId="600FD825" w14:textId="77777777" w:rsidR="00CE6C69" w:rsidRPr="00AC0C65" w:rsidRDefault="00CE6C69" w:rsidP="00CE6C69">
      <w:pPr>
        <w:bidi w:val="0"/>
        <w:jc w:val="both"/>
        <w:rPr>
          <w:color w:val="000000"/>
          <w:lang w:eastAsia="en-US"/>
        </w:rPr>
      </w:pPr>
      <w:r w:rsidRPr="00AC0C65">
        <w:rPr>
          <w:color w:val="000000" w:themeColor="text1"/>
          <w:lang w:eastAsia="en-US"/>
        </w:rPr>
        <w:t xml:space="preserve">For statistical purposes, the data </w:t>
      </w:r>
      <w:r>
        <w:rPr>
          <w:color w:val="000000" w:themeColor="text1"/>
          <w:lang w:eastAsia="en-US"/>
        </w:rPr>
        <w:t xml:space="preserve">that </w:t>
      </w:r>
      <w:r w:rsidRPr="00AC0C65">
        <w:rPr>
          <w:color w:val="000000" w:themeColor="text1"/>
          <w:lang w:eastAsia="en-US"/>
        </w:rPr>
        <w:t>was published</w:t>
      </w:r>
      <w:r>
        <w:rPr>
          <w:color w:val="000000" w:themeColor="text1"/>
          <w:lang w:eastAsia="en-US"/>
        </w:rPr>
        <w:t xml:space="preserve"> </w:t>
      </w:r>
      <w:r w:rsidRPr="00AC0C65">
        <w:rPr>
          <w:color w:val="000000" w:themeColor="text1"/>
          <w:lang w:eastAsia="en-US"/>
        </w:rPr>
        <w:t>for Palestine exclud</w:t>
      </w:r>
      <w:r>
        <w:rPr>
          <w:color w:val="000000" w:themeColor="text1"/>
          <w:lang w:eastAsia="en-US"/>
        </w:rPr>
        <w:t>es</w:t>
      </w:r>
      <w:r w:rsidRPr="00AC0C65">
        <w:rPr>
          <w:color w:val="000000" w:themeColor="text1"/>
          <w:lang w:eastAsia="en-US"/>
        </w:rPr>
        <w:t xml:space="preserve"> </w:t>
      </w:r>
      <w:r w:rsidRPr="00AC0C65">
        <w:rPr>
          <w:color w:val="000000"/>
          <w:lang w:eastAsia="en-US"/>
        </w:rPr>
        <w:t>those parts of Jerusalem which were annexed by Israeli occupation in 1967.</w:t>
      </w:r>
      <w:r w:rsidRPr="00AC0C65">
        <w:rPr>
          <w:color w:val="000000" w:themeColor="text1"/>
          <w:lang w:eastAsia="en-US"/>
        </w:rPr>
        <w:t xml:space="preserve"> </w:t>
      </w:r>
    </w:p>
    <w:p w14:paraId="5AE3F9C0" w14:textId="77777777" w:rsidR="00CE6C69" w:rsidRDefault="00CE6C69" w:rsidP="00CE6C69">
      <w:pPr>
        <w:widowControl w:val="0"/>
        <w:bidi w:val="0"/>
        <w:jc w:val="both"/>
        <w:rPr>
          <w:color w:val="000000"/>
          <w:lang w:eastAsia="en-US"/>
        </w:rPr>
      </w:pPr>
    </w:p>
    <w:p w14:paraId="76F133AE" w14:textId="77777777" w:rsidR="00CE6C69" w:rsidRPr="00221E7A" w:rsidRDefault="00CE6C69" w:rsidP="00CE6C69">
      <w:pPr>
        <w:pStyle w:val="Heading1"/>
        <w:jc w:val="left"/>
        <w:rPr>
          <w:noProof w:val="0"/>
          <w:color w:val="000000"/>
          <w:sz w:val="24"/>
          <w:szCs w:val="24"/>
        </w:rPr>
      </w:pPr>
      <w:r>
        <w:rPr>
          <w:noProof w:val="0"/>
          <w:color w:val="000000"/>
          <w:sz w:val="24"/>
          <w:szCs w:val="24"/>
        </w:rPr>
        <w:t>3.</w:t>
      </w:r>
      <w:r w:rsidRPr="00221E7A">
        <w:rPr>
          <w:noProof w:val="0"/>
          <w:color w:val="000000"/>
          <w:sz w:val="24"/>
          <w:szCs w:val="24"/>
        </w:rPr>
        <w:t>2 M</w:t>
      </w:r>
      <w:r>
        <w:rPr>
          <w:noProof w:val="0"/>
          <w:color w:val="000000"/>
          <w:sz w:val="24"/>
          <w:szCs w:val="24"/>
        </w:rPr>
        <w:t>ethodology of Palestinian</w:t>
      </w:r>
      <w:r w:rsidRPr="00221E7A">
        <w:rPr>
          <w:noProof w:val="0"/>
          <w:color w:val="000000"/>
          <w:sz w:val="24"/>
          <w:szCs w:val="24"/>
        </w:rPr>
        <w:t xml:space="preserve"> Health Accounts </w:t>
      </w:r>
    </w:p>
    <w:p w14:paraId="1E58A0DC" w14:textId="77777777" w:rsidR="00CE6C69" w:rsidRPr="009918B9" w:rsidRDefault="00CE6C69" w:rsidP="00CE6C69">
      <w:pPr>
        <w:bidi w:val="0"/>
        <w:rPr>
          <w:color w:val="000000"/>
          <w:sz w:val="16"/>
          <w:szCs w:val="16"/>
          <w:rtl/>
          <w:lang w:eastAsia="en-US"/>
        </w:rPr>
      </w:pPr>
    </w:p>
    <w:p w14:paraId="491FDB22" w14:textId="77777777" w:rsidR="00CE6C69" w:rsidRDefault="00CE6C69" w:rsidP="00CE6C69">
      <w:pPr>
        <w:pStyle w:val="Heading2"/>
        <w:ind w:left="360" w:right="360" w:hanging="360"/>
        <w:jc w:val="left"/>
        <w:rPr>
          <w:color w:val="000000"/>
          <w:sz w:val="24"/>
          <w:szCs w:val="24"/>
          <w:lang w:eastAsia="en-US"/>
        </w:rPr>
      </w:pPr>
      <w:r>
        <w:rPr>
          <w:color w:val="000000"/>
          <w:sz w:val="24"/>
          <w:szCs w:val="24"/>
          <w:lang w:eastAsia="en-US"/>
        </w:rPr>
        <w:t>3.2.</w:t>
      </w:r>
      <w:r w:rsidRPr="00AB2380">
        <w:rPr>
          <w:color w:val="000000"/>
          <w:sz w:val="24"/>
          <w:szCs w:val="24"/>
          <w:lang w:eastAsia="en-US"/>
        </w:rPr>
        <w:t>1 Classificati</w:t>
      </w:r>
      <w:r>
        <w:rPr>
          <w:color w:val="000000"/>
          <w:sz w:val="24"/>
          <w:szCs w:val="24"/>
          <w:lang w:eastAsia="en-US"/>
        </w:rPr>
        <w:t>on Systems</w:t>
      </w:r>
    </w:p>
    <w:p w14:paraId="66267E91" w14:textId="77777777" w:rsidR="00CE6C69" w:rsidRDefault="00CE6C69" w:rsidP="00CE6C69">
      <w:pPr>
        <w:bidi w:val="0"/>
        <w:jc w:val="both"/>
        <w:rPr>
          <w:color w:val="000000"/>
          <w:lang w:eastAsia="en-US"/>
        </w:rPr>
      </w:pPr>
      <w:r w:rsidRPr="00A21F8B">
        <w:rPr>
          <w:color w:val="000000"/>
          <w:lang w:eastAsia="en-US"/>
        </w:rPr>
        <w:t xml:space="preserve">The set of Palestinian classifications is based on </w:t>
      </w:r>
      <w:r w:rsidR="00B50533" w:rsidRPr="00227A07">
        <w:rPr>
          <w:color w:val="000000"/>
          <w:lang w:eastAsia="en-US"/>
        </w:rPr>
        <w:t xml:space="preserve">the </w:t>
      </w:r>
      <w:r>
        <w:rPr>
          <w:color w:val="000000"/>
          <w:lang w:eastAsia="en-US"/>
        </w:rPr>
        <w:t>International Classification for Health Accounts that used the System of Health Accounts (2011 edition)</w:t>
      </w:r>
      <w:r>
        <w:rPr>
          <w:color w:val="000000"/>
          <w:szCs w:val="28"/>
        </w:rPr>
        <w:t xml:space="preserve">, which was issued by </w:t>
      </w:r>
      <w:r>
        <w:rPr>
          <w:sz w:val="23"/>
          <w:szCs w:val="23"/>
        </w:rPr>
        <w:t>the Organization</w:t>
      </w:r>
      <w:r>
        <w:rPr>
          <w:rFonts w:hint="cs"/>
          <w:sz w:val="23"/>
          <w:szCs w:val="23"/>
        </w:rPr>
        <w:t xml:space="preserve"> for Economic Co-operation and Development</w:t>
      </w:r>
      <w:r>
        <w:rPr>
          <w:color w:val="000000"/>
          <w:szCs w:val="28"/>
        </w:rPr>
        <w:t xml:space="preserve"> (OECD), World health organization (WHO) and the Statistical Office of the European Union (Eurostat)</w:t>
      </w:r>
      <w:r>
        <w:rPr>
          <w:color w:val="000000"/>
          <w:lang w:eastAsia="en-US"/>
        </w:rPr>
        <w:t>, and it is</w:t>
      </w:r>
      <w:r w:rsidRPr="00A21F8B">
        <w:rPr>
          <w:color w:val="000000"/>
          <w:lang w:eastAsia="en-US"/>
        </w:rPr>
        <w:t xml:space="preserve"> compatible with SNA</w:t>
      </w:r>
      <w:r>
        <w:rPr>
          <w:color w:val="000000"/>
          <w:lang w:eastAsia="en-US"/>
        </w:rPr>
        <w:t xml:space="preserve"> 2008</w:t>
      </w:r>
      <w:r w:rsidRPr="00A21F8B">
        <w:rPr>
          <w:color w:val="000000"/>
          <w:lang w:eastAsia="en-US"/>
        </w:rPr>
        <w:t xml:space="preserve">. </w:t>
      </w:r>
    </w:p>
    <w:p w14:paraId="6DD26AFF" w14:textId="77777777" w:rsidR="00E4676C" w:rsidRPr="00E4676C" w:rsidRDefault="00E4676C" w:rsidP="00E4676C">
      <w:pPr>
        <w:bidi w:val="0"/>
        <w:jc w:val="both"/>
        <w:rPr>
          <w:color w:val="000000"/>
          <w:sz w:val="18"/>
          <w:szCs w:val="18"/>
          <w:lang w:eastAsia="en-US"/>
        </w:rPr>
      </w:pPr>
    </w:p>
    <w:p w14:paraId="3C5FAF2D" w14:textId="77777777" w:rsidR="00CE6C69" w:rsidRPr="00A21F8B" w:rsidRDefault="00CE6C69" w:rsidP="00CE6C69">
      <w:pPr>
        <w:bidi w:val="0"/>
        <w:jc w:val="both"/>
        <w:rPr>
          <w:color w:val="000000"/>
          <w:rtl/>
          <w:lang w:eastAsia="en-US"/>
        </w:rPr>
      </w:pPr>
      <w:r>
        <w:rPr>
          <w:color w:val="000000"/>
          <w:lang w:eastAsia="en-US"/>
        </w:rPr>
        <w:t>Since health accounts are a branch of satellite accounts, e</w:t>
      </w:r>
      <w:r w:rsidRPr="00A21F8B">
        <w:rPr>
          <w:color w:val="000000"/>
          <w:lang w:eastAsia="en-US"/>
        </w:rPr>
        <w:t xml:space="preserve">ach item should be explicitly allocated to the category </w:t>
      </w:r>
      <w:r>
        <w:rPr>
          <w:color w:val="000000"/>
          <w:lang w:eastAsia="en-US"/>
        </w:rPr>
        <w:t>to</w:t>
      </w:r>
      <w:r w:rsidRPr="00A21F8B">
        <w:rPr>
          <w:color w:val="000000"/>
          <w:lang w:eastAsia="en-US"/>
        </w:rPr>
        <w:t xml:space="preserve"> which it belongs</w:t>
      </w:r>
      <w:r>
        <w:rPr>
          <w:color w:val="000000"/>
          <w:lang w:eastAsia="en-US"/>
        </w:rPr>
        <w:t>.</w:t>
      </w:r>
    </w:p>
    <w:p w14:paraId="3DD0129C" w14:textId="77777777" w:rsidR="00CE6C69" w:rsidRDefault="00CE6C69" w:rsidP="00F7798D">
      <w:pPr>
        <w:pStyle w:val="BodyTextIndent2"/>
        <w:ind w:left="0"/>
        <w:rPr>
          <w:color w:val="000000"/>
          <w:lang w:eastAsia="en-US"/>
        </w:rPr>
      </w:pPr>
      <w:r w:rsidRPr="00A21F8B">
        <w:rPr>
          <w:color w:val="000000"/>
          <w:lang w:eastAsia="en-US"/>
        </w:rPr>
        <w:t xml:space="preserve">The compilation of </w:t>
      </w:r>
      <w:r>
        <w:rPr>
          <w:color w:val="000000"/>
          <w:lang w:eastAsia="en-US"/>
        </w:rPr>
        <w:t>the Palestinian</w:t>
      </w:r>
      <w:r w:rsidRPr="00A21F8B">
        <w:rPr>
          <w:color w:val="000000"/>
          <w:lang w:eastAsia="en-US"/>
        </w:rPr>
        <w:t xml:space="preserve"> health accounts</w:t>
      </w:r>
      <w:r>
        <w:rPr>
          <w:color w:val="000000"/>
          <w:lang w:eastAsia="en-US"/>
        </w:rPr>
        <w:t xml:space="preserve"> within the following dimensions:</w:t>
      </w:r>
      <w:r w:rsidRPr="00614C1C">
        <w:rPr>
          <w:color w:val="000000"/>
          <w:lang w:eastAsia="en-US"/>
        </w:rPr>
        <w:t xml:space="preserve"> </w:t>
      </w:r>
      <w:r>
        <w:rPr>
          <w:color w:val="000000"/>
          <w:lang w:eastAsia="en-US"/>
        </w:rPr>
        <w:t>f</w:t>
      </w:r>
      <w:r w:rsidRPr="00A21F8B">
        <w:rPr>
          <w:color w:val="000000"/>
          <w:lang w:eastAsia="en-US"/>
        </w:rPr>
        <w:t>inancing</w:t>
      </w:r>
      <w:r>
        <w:rPr>
          <w:color w:val="000000"/>
          <w:lang w:eastAsia="en-US"/>
        </w:rPr>
        <w:t xml:space="preserve"> scheme, financing agents, revenues of health care financing scheme and f</w:t>
      </w:r>
      <w:r w:rsidRPr="00A21F8B">
        <w:rPr>
          <w:color w:val="000000"/>
          <w:lang w:eastAsia="en-US"/>
        </w:rPr>
        <w:t xml:space="preserve">unctional </w:t>
      </w:r>
      <w:r>
        <w:rPr>
          <w:color w:val="000000"/>
          <w:lang w:eastAsia="en-US"/>
        </w:rPr>
        <w:t>c</w:t>
      </w:r>
      <w:r w:rsidRPr="00A21F8B">
        <w:rPr>
          <w:color w:val="000000"/>
          <w:lang w:eastAsia="en-US"/>
        </w:rPr>
        <w:t xml:space="preserve">lassification of </w:t>
      </w:r>
      <w:r>
        <w:rPr>
          <w:color w:val="000000"/>
          <w:lang w:eastAsia="en-US"/>
        </w:rPr>
        <w:t>h</w:t>
      </w:r>
      <w:r w:rsidRPr="00A21F8B">
        <w:rPr>
          <w:color w:val="000000"/>
          <w:lang w:eastAsia="en-US"/>
        </w:rPr>
        <w:t>ealth</w:t>
      </w:r>
      <w:r>
        <w:rPr>
          <w:color w:val="000000"/>
          <w:lang w:eastAsia="en-US"/>
        </w:rPr>
        <w:t xml:space="preserve"> c</w:t>
      </w:r>
      <w:r w:rsidRPr="00A21F8B">
        <w:rPr>
          <w:color w:val="000000"/>
          <w:lang w:eastAsia="en-US"/>
        </w:rPr>
        <w:t>are</w:t>
      </w:r>
      <w:r>
        <w:rPr>
          <w:color w:val="000000"/>
          <w:lang w:eastAsia="en-US"/>
        </w:rPr>
        <w:t xml:space="preserve"> provider depends</w:t>
      </w:r>
      <w:r w:rsidRPr="00A21F8B">
        <w:rPr>
          <w:color w:val="000000"/>
          <w:lang w:eastAsia="en-US"/>
        </w:rPr>
        <w:t xml:space="preserve"> o</w:t>
      </w:r>
      <w:r>
        <w:rPr>
          <w:color w:val="000000"/>
          <w:lang w:eastAsia="en-US"/>
        </w:rPr>
        <w:t>n</w:t>
      </w:r>
      <w:r w:rsidRPr="00A21F8B">
        <w:rPr>
          <w:color w:val="000000"/>
          <w:lang w:eastAsia="en-US"/>
        </w:rPr>
        <w:t xml:space="preserve"> the following three main </w:t>
      </w:r>
      <w:r w:rsidR="00F7798D">
        <w:rPr>
          <w:color w:val="000000"/>
          <w:lang w:eastAsia="en-US"/>
        </w:rPr>
        <w:t>phases</w:t>
      </w:r>
      <w:r w:rsidRPr="00A21F8B">
        <w:rPr>
          <w:color w:val="000000"/>
          <w:lang w:eastAsia="en-US"/>
        </w:rPr>
        <w:t>:</w:t>
      </w:r>
    </w:p>
    <w:p w14:paraId="7266CC87" w14:textId="77777777" w:rsidR="00CE6C69" w:rsidRPr="00A21F8B" w:rsidRDefault="00CE6C69" w:rsidP="00F7798D">
      <w:pPr>
        <w:numPr>
          <w:ilvl w:val="0"/>
          <w:numId w:val="1"/>
        </w:numPr>
        <w:tabs>
          <w:tab w:val="clear" w:pos="360"/>
        </w:tabs>
        <w:bidi w:val="0"/>
        <w:ind w:left="426" w:right="71" w:hanging="284"/>
        <w:jc w:val="both"/>
        <w:rPr>
          <w:color w:val="000000"/>
          <w:lang w:eastAsia="en-US"/>
        </w:rPr>
      </w:pPr>
      <w:r w:rsidRPr="00A21F8B">
        <w:rPr>
          <w:color w:val="000000"/>
          <w:lang w:eastAsia="en-US"/>
        </w:rPr>
        <w:t>Classification systems for various data dimensions</w:t>
      </w:r>
      <w:r>
        <w:rPr>
          <w:color w:val="000000"/>
          <w:lang w:eastAsia="en-US"/>
        </w:rPr>
        <w:t xml:space="preserve"> based on System of Health Accounts</w:t>
      </w:r>
      <w:r w:rsidR="00F7798D">
        <w:rPr>
          <w:color w:val="000000"/>
          <w:lang w:eastAsia="en-US"/>
        </w:rPr>
        <w:t>.</w:t>
      </w:r>
      <w:r>
        <w:rPr>
          <w:color w:val="000000"/>
          <w:lang w:eastAsia="en-US"/>
        </w:rPr>
        <w:t xml:space="preserve"> </w:t>
      </w:r>
    </w:p>
    <w:p w14:paraId="6CC1396C" w14:textId="77777777" w:rsidR="00CE6C69" w:rsidRPr="00A21F8B" w:rsidRDefault="00B50533" w:rsidP="00B469A5">
      <w:pPr>
        <w:numPr>
          <w:ilvl w:val="0"/>
          <w:numId w:val="1"/>
        </w:numPr>
        <w:tabs>
          <w:tab w:val="clear" w:pos="360"/>
        </w:tabs>
        <w:bidi w:val="0"/>
        <w:ind w:left="426" w:right="71" w:hanging="284"/>
        <w:jc w:val="both"/>
        <w:rPr>
          <w:color w:val="000000"/>
          <w:lang w:eastAsia="en-US"/>
        </w:rPr>
      </w:pPr>
      <w:r w:rsidRPr="00F71153">
        <w:rPr>
          <w:color w:val="000000"/>
          <w:lang w:eastAsia="en-US"/>
        </w:rPr>
        <w:t xml:space="preserve">Data entry and processing according to a </w:t>
      </w:r>
      <w:r w:rsidR="00506832" w:rsidRPr="00F71153">
        <w:rPr>
          <w:color w:val="000000"/>
          <w:lang w:eastAsia="en-US"/>
        </w:rPr>
        <w:t>computerized</w:t>
      </w:r>
      <w:r w:rsidRPr="00F71153">
        <w:rPr>
          <w:color w:val="000000"/>
          <w:lang w:eastAsia="en-US"/>
        </w:rPr>
        <w:t xml:space="preserve"> system.</w:t>
      </w:r>
    </w:p>
    <w:p w14:paraId="4BC4D11B" w14:textId="77777777" w:rsidR="00CE6C69" w:rsidRPr="00A21F8B" w:rsidRDefault="00B469A5" w:rsidP="00CE6C69">
      <w:pPr>
        <w:numPr>
          <w:ilvl w:val="0"/>
          <w:numId w:val="1"/>
        </w:numPr>
        <w:tabs>
          <w:tab w:val="clear" w:pos="360"/>
        </w:tabs>
        <w:bidi w:val="0"/>
        <w:ind w:left="426" w:right="71" w:hanging="284"/>
        <w:jc w:val="both"/>
        <w:rPr>
          <w:color w:val="000000"/>
          <w:lang w:eastAsia="en-US"/>
        </w:rPr>
      </w:pPr>
      <w:r>
        <w:rPr>
          <w:color w:val="000000"/>
          <w:lang w:eastAsia="en-US"/>
        </w:rPr>
        <w:t xml:space="preserve">Preparation of </w:t>
      </w:r>
      <w:r w:rsidR="002376A8">
        <w:rPr>
          <w:color w:val="000000"/>
          <w:lang w:eastAsia="en-US"/>
        </w:rPr>
        <w:t>aggregated data</w:t>
      </w:r>
      <w:r>
        <w:rPr>
          <w:color w:val="000000"/>
          <w:lang w:eastAsia="en-US"/>
        </w:rPr>
        <w:t xml:space="preserve"> matrices for the </w:t>
      </w:r>
      <w:r w:rsidR="00CE6C69" w:rsidRPr="00A21F8B">
        <w:rPr>
          <w:color w:val="000000"/>
          <w:lang w:eastAsia="en-US"/>
        </w:rPr>
        <w:t>total value of expenditure</w:t>
      </w:r>
      <w:r w:rsidR="00CE6C69">
        <w:rPr>
          <w:color w:val="000000"/>
          <w:lang w:eastAsia="en-US"/>
        </w:rPr>
        <w:t>s</w:t>
      </w:r>
      <w:r w:rsidR="00CE6C69" w:rsidRPr="00A21F8B">
        <w:rPr>
          <w:color w:val="000000"/>
          <w:lang w:eastAsia="en-US"/>
        </w:rPr>
        <w:t xml:space="preserve">. </w:t>
      </w:r>
    </w:p>
    <w:p w14:paraId="5896CFCD" w14:textId="77777777" w:rsidR="00CE6C69" w:rsidRPr="00A21F8B" w:rsidRDefault="00CE6C69" w:rsidP="00CE6C69">
      <w:pPr>
        <w:pStyle w:val="Heading2"/>
        <w:jc w:val="left"/>
        <w:rPr>
          <w:b w:val="0"/>
          <w:bCs w:val="0"/>
          <w:color w:val="000000"/>
          <w:sz w:val="24"/>
          <w:szCs w:val="24"/>
          <w:rtl/>
          <w:lang w:eastAsia="en-US"/>
        </w:rPr>
      </w:pPr>
    </w:p>
    <w:p w14:paraId="2CAEC0E4" w14:textId="77777777" w:rsidR="00CE6C69" w:rsidRDefault="00CE6C69" w:rsidP="00CE6C69">
      <w:pPr>
        <w:pStyle w:val="Heading2"/>
        <w:jc w:val="left"/>
        <w:rPr>
          <w:color w:val="000000"/>
          <w:sz w:val="24"/>
          <w:szCs w:val="24"/>
          <w:lang w:eastAsia="en-GB"/>
        </w:rPr>
      </w:pPr>
      <w:r>
        <w:rPr>
          <w:color w:val="000000"/>
          <w:sz w:val="24"/>
          <w:szCs w:val="24"/>
          <w:lang w:eastAsia="en-GB"/>
        </w:rPr>
        <w:t>3.2.2 Preliminary Treatment of Data from Individual Sources</w:t>
      </w:r>
    </w:p>
    <w:p w14:paraId="472AC75D" w14:textId="0A81810F" w:rsidR="00CE6C69" w:rsidRDefault="00CE6C69" w:rsidP="005B3619">
      <w:pPr>
        <w:bidi w:val="0"/>
        <w:jc w:val="both"/>
        <w:rPr>
          <w:color w:val="000000"/>
          <w:lang w:eastAsia="en-US"/>
        </w:rPr>
      </w:pPr>
      <w:r>
        <w:rPr>
          <w:color w:val="000000"/>
          <w:lang w:eastAsia="en-US"/>
        </w:rPr>
        <w:t xml:space="preserve">In the treatment process of data for </w:t>
      </w:r>
      <w:r w:rsidR="005B3619">
        <w:rPr>
          <w:color w:val="000000"/>
          <w:lang w:eastAsia="en-US"/>
        </w:rPr>
        <w:t>202</w:t>
      </w:r>
      <w:r w:rsidR="00C56EAD">
        <w:rPr>
          <w:color w:val="000000"/>
          <w:lang w:eastAsia="en-US"/>
        </w:rPr>
        <w:t>1</w:t>
      </w:r>
      <w:r w:rsidR="002376A8">
        <w:rPr>
          <w:color w:val="000000"/>
          <w:lang w:eastAsia="en-US"/>
        </w:rPr>
        <w:t xml:space="preserve">, </w:t>
      </w:r>
      <w:r w:rsidR="005B3619">
        <w:rPr>
          <w:color w:val="000000"/>
          <w:lang w:eastAsia="en-US"/>
        </w:rPr>
        <w:t>202</w:t>
      </w:r>
      <w:r w:rsidR="00C56EAD">
        <w:rPr>
          <w:color w:val="000000"/>
          <w:lang w:eastAsia="en-US"/>
        </w:rPr>
        <w:t>2</w:t>
      </w:r>
      <w:r>
        <w:rPr>
          <w:color w:val="000000"/>
          <w:lang w:eastAsia="en-US"/>
        </w:rPr>
        <w:t>, data sets of each given source were treated independently from other sources. The purpose of this method is twofold</w:t>
      </w:r>
      <w:r w:rsidRPr="00AF03F8">
        <w:rPr>
          <w:color w:val="000000"/>
          <w:lang w:eastAsia="en-US"/>
        </w:rPr>
        <w:t xml:space="preserve"> </w:t>
      </w:r>
      <w:r>
        <w:rPr>
          <w:color w:val="000000"/>
          <w:lang w:eastAsia="en-US"/>
        </w:rPr>
        <w:t>as follows:</w:t>
      </w:r>
    </w:p>
    <w:p w14:paraId="4F2F2123" w14:textId="77777777" w:rsidR="00CE6C69" w:rsidRDefault="00CE6C69" w:rsidP="00CE6C69">
      <w:pPr>
        <w:numPr>
          <w:ilvl w:val="0"/>
          <w:numId w:val="2"/>
        </w:numPr>
        <w:tabs>
          <w:tab w:val="clear" w:pos="360"/>
          <w:tab w:val="right" w:pos="9000"/>
        </w:tabs>
        <w:bidi w:val="0"/>
        <w:ind w:left="426" w:hanging="284"/>
        <w:jc w:val="both"/>
        <w:rPr>
          <w:color w:val="000000"/>
          <w:lang w:eastAsia="en-US"/>
        </w:rPr>
      </w:pPr>
      <w:r>
        <w:rPr>
          <w:color w:val="000000"/>
          <w:lang w:eastAsia="en-US"/>
        </w:rPr>
        <w:t>To obtain reliable and consistent numbers on relevant transactions with the correct coding and classification;</w:t>
      </w:r>
    </w:p>
    <w:p w14:paraId="5E171A33" w14:textId="77777777" w:rsidR="00CE6C69" w:rsidRDefault="00CE6C69" w:rsidP="00CE6C69">
      <w:pPr>
        <w:widowControl w:val="0"/>
        <w:numPr>
          <w:ilvl w:val="0"/>
          <w:numId w:val="2"/>
        </w:numPr>
        <w:tabs>
          <w:tab w:val="clear" w:pos="360"/>
        </w:tabs>
        <w:bidi w:val="0"/>
        <w:ind w:left="426" w:hanging="284"/>
        <w:jc w:val="both"/>
        <w:rPr>
          <w:color w:val="000000"/>
          <w:lang w:eastAsia="en-US"/>
        </w:rPr>
      </w:pPr>
      <w:r>
        <w:rPr>
          <w:color w:val="000000"/>
          <w:lang w:eastAsia="en-US"/>
        </w:rPr>
        <w:t>To facilitate and speed up data preparation in future years.</w:t>
      </w:r>
    </w:p>
    <w:p w14:paraId="3754F23E" w14:textId="77777777" w:rsidR="00CE6C69" w:rsidRDefault="00CE6C69" w:rsidP="00CE6C69">
      <w:pPr>
        <w:bidi w:val="0"/>
        <w:jc w:val="both"/>
        <w:rPr>
          <w:color w:val="000000"/>
          <w:lang w:eastAsia="en-US"/>
        </w:rPr>
      </w:pPr>
      <w:r>
        <w:rPr>
          <w:color w:val="000000"/>
          <w:lang w:eastAsia="en-US"/>
        </w:rPr>
        <w:br w:type="page"/>
      </w:r>
    </w:p>
    <w:tbl>
      <w:tblPr>
        <w:tblStyle w:val="TableGrid"/>
        <w:tblW w:w="0" w:type="auto"/>
        <w:tblLook w:val="04A0" w:firstRow="1" w:lastRow="0" w:firstColumn="1" w:lastColumn="0" w:noHBand="0" w:noVBand="1"/>
      </w:tblPr>
      <w:tblGrid>
        <w:gridCol w:w="2068"/>
        <w:gridCol w:w="3312"/>
        <w:gridCol w:w="3681"/>
      </w:tblGrid>
      <w:tr w:rsidR="00CE6C69" w:rsidRPr="00D85AFF" w14:paraId="29D765BE" w14:textId="77777777" w:rsidTr="00416A33">
        <w:trPr>
          <w:trHeight w:val="410"/>
        </w:trPr>
        <w:tc>
          <w:tcPr>
            <w:tcW w:w="2093" w:type="dxa"/>
            <w:vAlign w:val="center"/>
          </w:tcPr>
          <w:p w14:paraId="50DDF496" w14:textId="77777777" w:rsidR="00CE6C69" w:rsidRPr="00D85AFF" w:rsidRDefault="00CE6C69" w:rsidP="001463FB">
            <w:pPr>
              <w:widowControl w:val="0"/>
              <w:bidi w:val="0"/>
              <w:ind w:right="360"/>
              <w:jc w:val="center"/>
              <w:rPr>
                <w:b/>
                <w:bCs/>
                <w:color w:val="000000"/>
                <w:sz w:val="22"/>
                <w:szCs w:val="22"/>
                <w:lang w:eastAsia="en-US"/>
              </w:rPr>
            </w:pPr>
            <w:r w:rsidRPr="00D85AFF">
              <w:rPr>
                <w:b/>
                <w:bCs/>
                <w:color w:val="000000"/>
                <w:sz w:val="22"/>
                <w:szCs w:val="22"/>
                <w:lang w:eastAsia="en-US"/>
              </w:rPr>
              <w:lastRenderedPageBreak/>
              <w:t>Economic Activity</w:t>
            </w:r>
          </w:p>
        </w:tc>
        <w:tc>
          <w:tcPr>
            <w:tcW w:w="3402" w:type="dxa"/>
            <w:vAlign w:val="center"/>
          </w:tcPr>
          <w:p w14:paraId="6DFD03F1" w14:textId="77777777" w:rsidR="00CE6C69" w:rsidRPr="00D85AFF" w:rsidRDefault="00CE6C69" w:rsidP="001463FB">
            <w:pPr>
              <w:widowControl w:val="0"/>
              <w:bidi w:val="0"/>
              <w:ind w:right="360"/>
              <w:jc w:val="center"/>
              <w:rPr>
                <w:b/>
                <w:bCs/>
                <w:color w:val="000000" w:themeColor="text1"/>
                <w:sz w:val="22"/>
                <w:szCs w:val="22"/>
                <w:lang w:eastAsia="en-US"/>
              </w:rPr>
            </w:pPr>
            <w:r w:rsidRPr="00D85AFF">
              <w:rPr>
                <w:b/>
                <w:bCs/>
                <w:color w:val="000000" w:themeColor="text1"/>
                <w:sz w:val="22"/>
                <w:szCs w:val="22"/>
                <w:lang w:eastAsia="en-US"/>
              </w:rPr>
              <w:t>Source</w:t>
            </w:r>
          </w:p>
        </w:tc>
        <w:tc>
          <w:tcPr>
            <w:tcW w:w="3792" w:type="dxa"/>
            <w:vAlign w:val="center"/>
          </w:tcPr>
          <w:p w14:paraId="1E8D3282" w14:textId="77777777" w:rsidR="00CE6C69" w:rsidRPr="00D85AFF" w:rsidRDefault="00CE6C69" w:rsidP="001463FB">
            <w:pPr>
              <w:widowControl w:val="0"/>
              <w:bidi w:val="0"/>
              <w:ind w:right="360"/>
              <w:jc w:val="center"/>
              <w:rPr>
                <w:b/>
                <w:bCs/>
                <w:color w:val="000000"/>
                <w:sz w:val="22"/>
                <w:szCs w:val="22"/>
                <w:lang w:eastAsia="en-US"/>
              </w:rPr>
            </w:pPr>
            <w:r w:rsidRPr="00D85AFF">
              <w:rPr>
                <w:b/>
                <w:bCs/>
                <w:color w:val="000000"/>
                <w:sz w:val="22"/>
                <w:szCs w:val="22"/>
                <w:lang w:eastAsia="en-US"/>
              </w:rPr>
              <w:t>Technical Notes</w:t>
            </w:r>
          </w:p>
        </w:tc>
      </w:tr>
      <w:tr w:rsidR="00CE6C69" w:rsidRPr="00D85AFF" w14:paraId="678B8CB2" w14:textId="77777777" w:rsidTr="00416A33">
        <w:tc>
          <w:tcPr>
            <w:tcW w:w="2093" w:type="dxa"/>
            <w:vMerge w:val="restart"/>
          </w:tcPr>
          <w:p w14:paraId="4766EC8F"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eastAsia="en-US"/>
              </w:rPr>
              <w:t>Government sector</w:t>
            </w:r>
          </w:p>
        </w:tc>
        <w:tc>
          <w:tcPr>
            <w:tcW w:w="3402" w:type="dxa"/>
          </w:tcPr>
          <w:p w14:paraId="528E0F2D" w14:textId="77777777" w:rsidR="00CE6C69" w:rsidRPr="00D85AFF" w:rsidRDefault="00CE6C69" w:rsidP="001463FB">
            <w:pPr>
              <w:widowControl w:val="0"/>
              <w:bidi w:val="0"/>
              <w:ind w:right="360"/>
              <w:jc w:val="both"/>
              <w:rPr>
                <w:color w:val="000000" w:themeColor="text1"/>
                <w:sz w:val="22"/>
                <w:szCs w:val="22"/>
                <w:lang w:eastAsia="en-US"/>
              </w:rPr>
            </w:pPr>
            <w:r w:rsidRPr="00D85AFF">
              <w:rPr>
                <w:color w:val="000000" w:themeColor="text1"/>
                <w:sz w:val="22"/>
                <w:szCs w:val="22"/>
                <w:lang w:eastAsia="en-US"/>
              </w:rPr>
              <w:t>Ministry of Health</w:t>
            </w:r>
          </w:p>
        </w:tc>
        <w:tc>
          <w:tcPr>
            <w:tcW w:w="3792" w:type="dxa"/>
          </w:tcPr>
          <w:p w14:paraId="2EE91A66" w14:textId="77777777" w:rsidR="00CE6C69" w:rsidRPr="00D85AFF" w:rsidRDefault="00CE6C69" w:rsidP="004A14C1">
            <w:pPr>
              <w:pStyle w:val="ListParagraph"/>
              <w:widowControl w:val="0"/>
              <w:numPr>
                <w:ilvl w:val="0"/>
                <w:numId w:val="13"/>
              </w:numPr>
              <w:bidi w:val="0"/>
              <w:ind w:left="318" w:hanging="284"/>
              <w:jc w:val="both"/>
              <w:rPr>
                <w:color w:val="000000"/>
                <w:sz w:val="22"/>
                <w:szCs w:val="22"/>
                <w:lang w:eastAsia="en-US"/>
              </w:rPr>
            </w:pPr>
            <w:r w:rsidRPr="00D85AFF">
              <w:rPr>
                <w:color w:val="000000"/>
                <w:sz w:val="22"/>
                <w:szCs w:val="22"/>
                <w:lang w:eastAsia="en-US"/>
              </w:rPr>
              <w:t xml:space="preserve">Obtained detailed data of revenues, expenditures and </w:t>
            </w:r>
            <w:r w:rsidR="00285CA4" w:rsidRPr="00D85AFF">
              <w:rPr>
                <w:color w:val="000000"/>
                <w:sz w:val="22"/>
                <w:szCs w:val="22"/>
                <w:lang w:eastAsia="en-US"/>
              </w:rPr>
              <w:t xml:space="preserve">cost of health </w:t>
            </w:r>
            <w:r w:rsidRPr="00D85AFF">
              <w:rPr>
                <w:color w:val="000000"/>
                <w:sz w:val="22"/>
                <w:szCs w:val="22"/>
                <w:lang w:eastAsia="en-US"/>
              </w:rPr>
              <w:t>treatment</w:t>
            </w:r>
            <w:r w:rsidR="001F303E" w:rsidRPr="00D85AFF">
              <w:rPr>
                <w:color w:val="000000"/>
                <w:sz w:val="22"/>
                <w:szCs w:val="22"/>
                <w:lang w:eastAsia="en-US"/>
              </w:rPr>
              <w:t xml:space="preserve"> abroad</w:t>
            </w:r>
            <w:r w:rsidRPr="00D85AFF">
              <w:rPr>
                <w:color w:val="000000"/>
                <w:sz w:val="22"/>
                <w:szCs w:val="22"/>
                <w:lang w:eastAsia="en-US"/>
              </w:rPr>
              <w:t xml:space="preserve"> </w:t>
            </w:r>
            <w:r w:rsidR="004A14C1" w:rsidRPr="00D85AFF">
              <w:rPr>
                <w:color w:val="000000"/>
                <w:sz w:val="22"/>
                <w:szCs w:val="22"/>
                <w:lang w:eastAsia="en-US"/>
              </w:rPr>
              <w:t>(</w:t>
            </w:r>
            <w:r w:rsidRPr="00D85AFF">
              <w:rPr>
                <w:color w:val="000000"/>
                <w:sz w:val="22"/>
                <w:szCs w:val="22"/>
                <w:lang w:eastAsia="en-US"/>
              </w:rPr>
              <w:t>inside</w:t>
            </w:r>
            <w:r w:rsidR="004A14C1" w:rsidRPr="00D85AFF">
              <w:rPr>
                <w:color w:val="000000"/>
                <w:sz w:val="22"/>
                <w:szCs w:val="22"/>
                <w:lang w:eastAsia="en-US"/>
              </w:rPr>
              <w:t xml:space="preserve"> and ou</w:t>
            </w:r>
            <w:r w:rsidR="00227A07" w:rsidRPr="00D85AFF">
              <w:rPr>
                <w:color w:val="000000"/>
                <w:sz w:val="22"/>
                <w:szCs w:val="22"/>
                <w:lang w:eastAsia="en-US"/>
              </w:rPr>
              <w:t>t</w:t>
            </w:r>
            <w:r w:rsidR="004A14C1" w:rsidRPr="00D85AFF">
              <w:rPr>
                <w:color w:val="000000"/>
                <w:sz w:val="22"/>
                <w:szCs w:val="22"/>
                <w:lang w:eastAsia="en-US"/>
              </w:rPr>
              <w:t>side</w:t>
            </w:r>
            <w:r w:rsidRPr="00D85AFF">
              <w:rPr>
                <w:color w:val="000000"/>
                <w:sz w:val="22"/>
                <w:szCs w:val="22"/>
                <w:lang w:eastAsia="en-US"/>
              </w:rPr>
              <w:t xml:space="preserve"> Palestine</w:t>
            </w:r>
            <w:r w:rsidR="004A14C1" w:rsidRPr="00D85AFF">
              <w:rPr>
                <w:color w:val="000000"/>
                <w:sz w:val="22"/>
                <w:szCs w:val="22"/>
                <w:lang w:eastAsia="en-US"/>
              </w:rPr>
              <w:t>).</w:t>
            </w:r>
          </w:p>
          <w:p w14:paraId="3FA687DB" w14:textId="77777777" w:rsidR="00CE6C69" w:rsidRPr="00D85AFF" w:rsidRDefault="00CE6C69" w:rsidP="001463FB">
            <w:pPr>
              <w:pStyle w:val="ListParagraph"/>
              <w:widowControl w:val="0"/>
              <w:numPr>
                <w:ilvl w:val="0"/>
                <w:numId w:val="13"/>
              </w:numPr>
              <w:bidi w:val="0"/>
              <w:ind w:left="318" w:hanging="284"/>
              <w:jc w:val="both"/>
              <w:rPr>
                <w:color w:val="000000"/>
                <w:sz w:val="22"/>
                <w:szCs w:val="22"/>
                <w:lang w:eastAsia="en-US"/>
              </w:rPr>
            </w:pPr>
            <w:r w:rsidRPr="00D85AFF">
              <w:rPr>
                <w:color w:val="000000"/>
                <w:sz w:val="22"/>
                <w:szCs w:val="22"/>
                <w:lang w:eastAsia="en-US"/>
              </w:rPr>
              <w:t xml:space="preserve">Financing schemes for government expenditure of health was determined by source of financing for government.  </w:t>
            </w:r>
          </w:p>
          <w:p w14:paraId="72B6BD5D" w14:textId="77777777" w:rsidR="00CE6C69" w:rsidRPr="00D85AFF" w:rsidRDefault="00CE6C69" w:rsidP="001463FB">
            <w:pPr>
              <w:pStyle w:val="ListParagraph"/>
              <w:widowControl w:val="0"/>
              <w:numPr>
                <w:ilvl w:val="0"/>
                <w:numId w:val="13"/>
              </w:numPr>
              <w:bidi w:val="0"/>
              <w:ind w:left="318" w:hanging="284"/>
              <w:jc w:val="both"/>
              <w:rPr>
                <w:color w:val="000000"/>
                <w:sz w:val="22"/>
                <w:szCs w:val="22"/>
                <w:lang w:eastAsia="en-US"/>
              </w:rPr>
            </w:pPr>
            <w:r w:rsidRPr="00D85AFF">
              <w:rPr>
                <w:color w:val="000000"/>
                <w:sz w:val="22"/>
                <w:szCs w:val="22"/>
                <w:lang w:eastAsia="en-US"/>
              </w:rPr>
              <w:t xml:space="preserve">Reclassifying the total cost by health functions was based on cost analysis study for government hospitals. </w:t>
            </w:r>
          </w:p>
        </w:tc>
      </w:tr>
      <w:tr w:rsidR="00CE6C69" w:rsidRPr="00D85AFF" w14:paraId="6E4217AD" w14:textId="77777777" w:rsidTr="00416A33">
        <w:tc>
          <w:tcPr>
            <w:tcW w:w="2093" w:type="dxa"/>
            <w:vMerge/>
          </w:tcPr>
          <w:p w14:paraId="6FA188DD" w14:textId="77777777" w:rsidR="00CE6C69" w:rsidRPr="00D85AFF" w:rsidRDefault="00CE6C69" w:rsidP="001463FB">
            <w:pPr>
              <w:widowControl w:val="0"/>
              <w:bidi w:val="0"/>
              <w:ind w:right="360"/>
              <w:jc w:val="both"/>
              <w:rPr>
                <w:color w:val="000000"/>
                <w:sz w:val="22"/>
                <w:szCs w:val="22"/>
                <w:lang w:eastAsia="en-US"/>
              </w:rPr>
            </w:pPr>
          </w:p>
        </w:tc>
        <w:tc>
          <w:tcPr>
            <w:tcW w:w="3402" w:type="dxa"/>
          </w:tcPr>
          <w:p w14:paraId="230C7E53" w14:textId="77777777" w:rsidR="00CE6C69" w:rsidRPr="00D85AFF" w:rsidRDefault="00CE6C69" w:rsidP="001463FB">
            <w:pPr>
              <w:widowControl w:val="0"/>
              <w:bidi w:val="0"/>
              <w:ind w:right="360"/>
              <w:jc w:val="both"/>
              <w:rPr>
                <w:color w:val="000000" w:themeColor="text1"/>
                <w:sz w:val="22"/>
                <w:szCs w:val="22"/>
                <w:lang w:eastAsia="en-US"/>
              </w:rPr>
            </w:pPr>
            <w:r w:rsidRPr="00D85AFF">
              <w:rPr>
                <w:color w:val="000000" w:themeColor="text1"/>
                <w:sz w:val="22"/>
                <w:szCs w:val="22"/>
              </w:rPr>
              <w:t>Administrative records of M</w:t>
            </w:r>
            <w:r w:rsidRPr="00D85AFF">
              <w:rPr>
                <w:color w:val="000000" w:themeColor="text1"/>
                <w:sz w:val="22"/>
                <w:szCs w:val="22"/>
                <w:lang w:eastAsia="en-US"/>
              </w:rPr>
              <w:t>ilitary Medical Services.</w:t>
            </w:r>
          </w:p>
        </w:tc>
        <w:tc>
          <w:tcPr>
            <w:tcW w:w="3792" w:type="dxa"/>
          </w:tcPr>
          <w:p w14:paraId="3156E954" w14:textId="77777777" w:rsidR="00CE6C69" w:rsidRPr="00D85AFF" w:rsidRDefault="00CE6C69" w:rsidP="001463FB">
            <w:pPr>
              <w:pStyle w:val="BodyText3"/>
              <w:jc w:val="both"/>
              <w:rPr>
                <w:rFonts w:ascii="Times New Roman" w:hAnsi="Times New Roman"/>
                <w:b w:val="0"/>
                <w:bCs w:val="0"/>
                <w:lang w:eastAsia="en-US"/>
              </w:rPr>
            </w:pPr>
            <w:r w:rsidRPr="00D85AFF">
              <w:rPr>
                <w:rFonts w:ascii="Times New Roman" w:hAnsi="Times New Roman"/>
                <w:b w:val="0"/>
                <w:bCs w:val="0"/>
                <w:lang w:eastAsia="en-US"/>
              </w:rPr>
              <w:t>It was not possible to obtain any financial data on these services, but PCBS obtained data on patient activities from military health facilities. It was recommended to use the data to generate estimates of the relevant expenditures by assuming that the cost level of these services is similar to that of the Ministry of Health.</w:t>
            </w:r>
          </w:p>
        </w:tc>
      </w:tr>
      <w:tr w:rsidR="00CE6C69" w:rsidRPr="00D85AFF" w14:paraId="5782B931" w14:textId="77777777" w:rsidTr="00416A33">
        <w:tc>
          <w:tcPr>
            <w:tcW w:w="2093" w:type="dxa"/>
            <w:vMerge w:val="restart"/>
          </w:tcPr>
          <w:p w14:paraId="789331B8"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eastAsia="en-US"/>
              </w:rPr>
              <w:t>Non-profit institutions serving households</w:t>
            </w:r>
          </w:p>
        </w:tc>
        <w:tc>
          <w:tcPr>
            <w:tcW w:w="3402" w:type="dxa"/>
          </w:tcPr>
          <w:p w14:paraId="41E75302" w14:textId="77777777" w:rsidR="00CE6C69" w:rsidRPr="00D85AFF" w:rsidRDefault="00CE6C69" w:rsidP="001463FB">
            <w:pPr>
              <w:widowControl w:val="0"/>
              <w:tabs>
                <w:tab w:val="right" w:pos="175"/>
              </w:tabs>
              <w:bidi w:val="0"/>
              <w:ind w:right="360"/>
              <w:jc w:val="both"/>
              <w:rPr>
                <w:color w:val="000000"/>
                <w:sz w:val="22"/>
                <w:szCs w:val="22"/>
                <w:lang w:eastAsia="en-US"/>
              </w:rPr>
            </w:pPr>
            <w:r w:rsidRPr="00D85AFF">
              <w:rPr>
                <w:sz w:val="22"/>
                <w:szCs w:val="22"/>
                <w:lang w:eastAsia="en-US"/>
              </w:rPr>
              <w:t>United Nations Relief and Works Agency</w:t>
            </w:r>
            <w:r w:rsidRPr="00D85AFF">
              <w:rPr>
                <w:color w:val="000000"/>
                <w:sz w:val="22"/>
                <w:szCs w:val="22"/>
                <w:lang w:eastAsia="en-US"/>
              </w:rPr>
              <w:t xml:space="preserve"> for Palestine Refugees (UNRWA)</w:t>
            </w:r>
          </w:p>
        </w:tc>
        <w:tc>
          <w:tcPr>
            <w:tcW w:w="3792" w:type="dxa"/>
          </w:tcPr>
          <w:p w14:paraId="6268549B"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eastAsia="en-US"/>
              </w:rPr>
              <w:t>Based on the total expenditure by UNRWA, PCBS estimated the value of expenditure per item by using the number of staff and number of visits to UNRWA’s primary health care centers.</w:t>
            </w:r>
          </w:p>
        </w:tc>
      </w:tr>
      <w:tr w:rsidR="00CE6C69" w:rsidRPr="00D85AFF" w14:paraId="2FFCD173" w14:textId="77777777" w:rsidTr="00416A33">
        <w:tc>
          <w:tcPr>
            <w:tcW w:w="2093" w:type="dxa"/>
            <w:vMerge/>
          </w:tcPr>
          <w:p w14:paraId="4D076271" w14:textId="77777777" w:rsidR="00CE6C69" w:rsidRPr="00D85AFF" w:rsidRDefault="00CE6C69" w:rsidP="001463FB">
            <w:pPr>
              <w:widowControl w:val="0"/>
              <w:bidi w:val="0"/>
              <w:ind w:right="360"/>
              <w:jc w:val="both"/>
              <w:rPr>
                <w:color w:val="000000"/>
                <w:sz w:val="22"/>
                <w:szCs w:val="22"/>
                <w:lang w:eastAsia="en-US"/>
              </w:rPr>
            </w:pPr>
          </w:p>
        </w:tc>
        <w:tc>
          <w:tcPr>
            <w:tcW w:w="3402" w:type="dxa"/>
          </w:tcPr>
          <w:p w14:paraId="2F587A7E" w14:textId="77777777" w:rsidR="00CE6C69" w:rsidRPr="00D85AFF" w:rsidRDefault="002376A8" w:rsidP="001463FB">
            <w:pPr>
              <w:pStyle w:val="ListParagraph"/>
              <w:widowControl w:val="0"/>
              <w:tabs>
                <w:tab w:val="right" w:pos="175"/>
              </w:tabs>
              <w:bidi w:val="0"/>
              <w:ind w:left="33" w:right="360"/>
              <w:jc w:val="both"/>
              <w:rPr>
                <w:sz w:val="22"/>
                <w:szCs w:val="22"/>
                <w:lang w:eastAsia="en-US"/>
              </w:rPr>
            </w:pPr>
            <w:r w:rsidRPr="00D85AFF">
              <w:rPr>
                <w:sz w:val="22"/>
                <w:szCs w:val="22"/>
                <w:lang w:eastAsia="en-US"/>
              </w:rPr>
              <w:t>Non-</w:t>
            </w:r>
            <w:r w:rsidRPr="00D85AFF">
              <w:rPr>
                <w:rFonts w:hint="cs"/>
                <w:sz w:val="22"/>
                <w:szCs w:val="22"/>
                <w:lang w:eastAsia="en-US"/>
              </w:rPr>
              <w:t>p</w:t>
            </w:r>
            <w:r w:rsidRPr="00D85AFF">
              <w:rPr>
                <w:sz w:val="22"/>
                <w:szCs w:val="22"/>
                <w:lang w:eastAsia="en-US"/>
              </w:rPr>
              <w:t>rofit</w:t>
            </w:r>
            <w:r w:rsidR="00CE6C69" w:rsidRPr="00D85AFF">
              <w:rPr>
                <w:sz w:val="22"/>
                <w:szCs w:val="22"/>
                <w:lang w:eastAsia="en-US"/>
              </w:rPr>
              <w:t xml:space="preserve"> institutions of health activities from the services survey within the economic surveys series which is conducted annually by PCBS.</w:t>
            </w:r>
          </w:p>
        </w:tc>
        <w:tc>
          <w:tcPr>
            <w:tcW w:w="3792" w:type="dxa"/>
          </w:tcPr>
          <w:p w14:paraId="70600DC2"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eastAsia="en-US"/>
              </w:rPr>
              <w:t>Data was classified by financing scheme depending on distribution of establishment revenues (inside/outside) from annual economic surveys.</w:t>
            </w:r>
          </w:p>
        </w:tc>
      </w:tr>
      <w:tr w:rsidR="00CE6C69" w:rsidRPr="00D85AFF" w14:paraId="54FE6CE3" w14:textId="77777777" w:rsidTr="00416A33">
        <w:tc>
          <w:tcPr>
            <w:tcW w:w="2093" w:type="dxa"/>
          </w:tcPr>
          <w:p w14:paraId="10FBF9EE"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eastAsia="en-US"/>
              </w:rPr>
              <w:t>Household sector</w:t>
            </w:r>
          </w:p>
        </w:tc>
        <w:tc>
          <w:tcPr>
            <w:tcW w:w="3402" w:type="dxa"/>
          </w:tcPr>
          <w:p w14:paraId="2DAFC813" w14:textId="77777777" w:rsidR="00CE6C69" w:rsidRPr="00D85AFF" w:rsidRDefault="00CE6C69" w:rsidP="001463FB">
            <w:pPr>
              <w:bidi w:val="0"/>
              <w:jc w:val="both"/>
              <w:rPr>
                <w:sz w:val="22"/>
                <w:szCs w:val="22"/>
                <w:rtl/>
              </w:rPr>
            </w:pPr>
            <w:r w:rsidRPr="00D85AFF">
              <w:rPr>
                <w:sz w:val="22"/>
                <w:szCs w:val="22"/>
              </w:rPr>
              <w:t>Palestinian Expenditure and Consumption Survey, 2017.</w:t>
            </w:r>
          </w:p>
          <w:p w14:paraId="4B9B459C" w14:textId="77777777" w:rsidR="00CE6C69" w:rsidRPr="00D85AFF" w:rsidRDefault="00CE6C69" w:rsidP="001463FB">
            <w:pPr>
              <w:widowControl w:val="0"/>
              <w:bidi w:val="0"/>
              <w:ind w:right="360"/>
              <w:jc w:val="both"/>
              <w:rPr>
                <w:color w:val="000000"/>
                <w:sz w:val="22"/>
                <w:szCs w:val="22"/>
                <w:lang w:eastAsia="en-US"/>
              </w:rPr>
            </w:pPr>
          </w:p>
        </w:tc>
        <w:tc>
          <w:tcPr>
            <w:tcW w:w="3792" w:type="dxa"/>
          </w:tcPr>
          <w:p w14:paraId="1ECA612B"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val="en-GB" w:eastAsia="en-US"/>
              </w:rPr>
              <w:t xml:space="preserve">The value of health expenditure was reweighted to represent </w:t>
            </w:r>
            <w:r w:rsidRPr="00D85AFF">
              <w:rPr>
                <w:color w:val="000000"/>
                <w:sz w:val="22"/>
                <w:szCs w:val="22"/>
                <w:lang w:eastAsia="en-US"/>
              </w:rPr>
              <w:t>the households that spent on health.</w:t>
            </w:r>
          </w:p>
        </w:tc>
      </w:tr>
      <w:tr w:rsidR="00CE6C69" w:rsidRPr="00D85AFF" w14:paraId="1C6AC4AE" w14:textId="77777777" w:rsidTr="00416A33">
        <w:tc>
          <w:tcPr>
            <w:tcW w:w="2093" w:type="dxa"/>
          </w:tcPr>
          <w:p w14:paraId="3FA41822" w14:textId="77777777" w:rsidR="00CE6C69" w:rsidRPr="00D85AFF" w:rsidRDefault="00CE6C69" w:rsidP="00FD3E13">
            <w:pPr>
              <w:widowControl w:val="0"/>
              <w:bidi w:val="0"/>
              <w:ind w:right="360"/>
              <w:jc w:val="both"/>
              <w:rPr>
                <w:color w:val="000000"/>
                <w:sz w:val="22"/>
                <w:szCs w:val="22"/>
                <w:lang w:eastAsia="en-US"/>
              </w:rPr>
            </w:pPr>
            <w:r w:rsidRPr="00D85AFF">
              <w:rPr>
                <w:color w:val="000000"/>
                <w:sz w:val="22"/>
                <w:szCs w:val="22"/>
              </w:rPr>
              <w:t xml:space="preserve">Insurance </w:t>
            </w:r>
            <w:r w:rsidR="00FD3E13" w:rsidRPr="00D85AFF">
              <w:rPr>
                <w:color w:val="000000"/>
                <w:sz w:val="22"/>
                <w:szCs w:val="22"/>
              </w:rPr>
              <w:t>corporations</w:t>
            </w:r>
          </w:p>
        </w:tc>
        <w:tc>
          <w:tcPr>
            <w:tcW w:w="3402" w:type="dxa"/>
          </w:tcPr>
          <w:p w14:paraId="153E97C3" w14:textId="77777777" w:rsidR="00CE6C69" w:rsidRPr="00D85AFF" w:rsidRDefault="00965475" w:rsidP="00965475">
            <w:pPr>
              <w:widowControl w:val="0"/>
              <w:bidi w:val="0"/>
              <w:ind w:right="360"/>
              <w:jc w:val="both"/>
              <w:rPr>
                <w:color w:val="000000"/>
                <w:sz w:val="22"/>
                <w:szCs w:val="22"/>
              </w:rPr>
            </w:pPr>
            <w:r w:rsidRPr="00D85AFF">
              <w:rPr>
                <w:color w:val="000000" w:themeColor="text1"/>
                <w:sz w:val="22"/>
                <w:szCs w:val="22"/>
              </w:rPr>
              <w:t xml:space="preserve">Administrative records of </w:t>
            </w:r>
            <w:r w:rsidR="00CE6C69" w:rsidRPr="00D85AFF">
              <w:rPr>
                <w:color w:val="000000"/>
                <w:sz w:val="22"/>
                <w:szCs w:val="22"/>
              </w:rPr>
              <w:t xml:space="preserve">Finance and Insurance </w:t>
            </w:r>
            <w:r w:rsidRPr="00D85AFF">
              <w:rPr>
                <w:color w:val="000000"/>
                <w:sz w:val="22"/>
                <w:szCs w:val="22"/>
              </w:rPr>
              <w:t>corporations.</w:t>
            </w:r>
          </w:p>
        </w:tc>
        <w:tc>
          <w:tcPr>
            <w:tcW w:w="3792" w:type="dxa"/>
          </w:tcPr>
          <w:p w14:paraId="1D50CB4A" w14:textId="77777777" w:rsidR="00CE6C69" w:rsidRPr="00D85AFF" w:rsidRDefault="00CE6C69" w:rsidP="001463FB">
            <w:pPr>
              <w:pStyle w:val="BodyText2"/>
              <w:widowControl w:val="0"/>
              <w:rPr>
                <w:sz w:val="22"/>
                <w:szCs w:val="22"/>
                <w:lang w:eastAsia="en-US"/>
              </w:rPr>
            </w:pPr>
            <w:r w:rsidRPr="00D85AFF">
              <w:rPr>
                <w:sz w:val="22"/>
                <w:szCs w:val="22"/>
                <w:lang w:eastAsia="en-US"/>
              </w:rPr>
              <w:t xml:space="preserve">Determining premiums and claims for health insurance in the total economy. </w:t>
            </w:r>
          </w:p>
          <w:p w14:paraId="3F93993E" w14:textId="77777777" w:rsidR="00CE6C69" w:rsidRPr="00D85AFF" w:rsidRDefault="00CE6C69" w:rsidP="001463FB">
            <w:pPr>
              <w:widowControl w:val="0"/>
              <w:bidi w:val="0"/>
              <w:ind w:right="360"/>
              <w:jc w:val="both"/>
              <w:rPr>
                <w:color w:val="000000"/>
                <w:sz w:val="22"/>
                <w:szCs w:val="22"/>
                <w:lang w:eastAsia="en-US"/>
              </w:rPr>
            </w:pPr>
          </w:p>
        </w:tc>
      </w:tr>
      <w:tr w:rsidR="00CE6C69" w:rsidRPr="00D85AFF" w14:paraId="5AD152F9" w14:textId="77777777" w:rsidTr="00416A33">
        <w:tc>
          <w:tcPr>
            <w:tcW w:w="2093" w:type="dxa"/>
          </w:tcPr>
          <w:p w14:paraId="470802EE"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eastAsia="en-US"/>
              </w:rPr>
              <w:t>Profit sector</w:t>
            </w:r>
          </w:p>
        </w:tc>
        <w:tc>
          <w:tcPr>
            <w:tcW w:w="3402" w:type="dxa"/>
          </w:tcPr>
          <w:p w14:paraId="19653563" w14:textId="77777777" w:rsidR="00FD3E13" w:rsidRPr="00D85AFF" w:rsidRDefault="00FD3E13" w:rsidP="00FD3E13">
            <w:pPr>
              <w:bidi w:val="0"/>
              <w:jc w:val="both"/>
              <w:rPr>
                <w:sz w:val="22"/>
                <w:szCs w:val="22"/>
                <w:rtl/>
              </w:rPr>
            </w:pPr>
            <w:r w:rsidRPr="00D85AFF">
              <w:rPr>
                <w:sz w:val="22"/>
                <w:szCs w:val="22"/>
              </w:rPr>
              <w:t>Palestinian Expenditure and Consumption Survey, 2017.</w:t>
            </w:r>
          </w:p>
          <w:p w14:paraId="5ABDD108" w14:textId="77777777" w:rsidR="00CE6C69" w:rsidRPr="00D85AFF" w:rsidRDefault="00CE6C69" w:rsidP="001463FB">
            <w:pPr>
              <w:widowControl w:val="0"/>
              <w:bidi w:val="0"/>
              <w:ind w:right="360"/>
              <w:jc w:val="both"/>
              <w:rPr>
                <w:color w:val="000000"/>
                <w:sz w:val="22"/>
                <w:szCs w:val="22"/>
                <w:lang w:eastAsia="en-US"/>
              </w:rPr>
            </w:pPr>
          </w:p>
        </w:tc>
        <w:tc>
          <w:tcPr>
            <w:tcW w:w="3792" w:type="dxa"/>
          </w:tcPr>
          <w:p w14:paraId="3F091758" w14:textId="77777777" w:rsidR="00CE6C69" w:rsidRPr="00D85AFF" w:rsidRDefault="00CE6C69" w:rsidP="001463FB">
            <w:pPr>
              <w:widowControl w:val="0"/>
              <w:bidi w:val="0"/>
              <w:jc w:val="both"/>
              <w:rPr>
                <w:color w:val="000000"/>
                <w:sz w:val="22"/>
                <w:szCs w:val="22"/>
                <w:lang w:eastAsia="en-US"/>
              </w:rPr>
            </w:pPr>
            <w:r w:rsidRPr="00D85AFF">
              <w:rPr>
                <w:color w:val="000000"/>
                <w:sz w:val="22"/>
                <w:szCs w:val="22"/>
                <w:lang w:eastAsia="en-US"/>
              </w:rPr>
              <w:t xml:space="preserve">Determining household out-of-pocket payments for private sector to determine the value of expenditure on medical and pharmaceutical goods. </w:t>
            </w:r>
          </w:p>
        </w:tc>
      </w:tr>
    </w:tbl>
    <w:p w14:paraId="2B6909A7" w14:textId="77777777" w:rsidR="00CE6C69" w:rsidRDefault="00CE6C69" w:rsidP="00CE6C69">
      <w:pPr>
        <w:bidi w:val="0"/>
        <w:spacing w:line="276" w:lineRule="auto"/>
        <w:jc w:val="center"/>
        <w:rPr>
          <w:color w:val="000000"/>
        </w:rPr>
      </w:pPr>
    </w:p>
    <w:p w14:paraId="77A4146C" w14:textId="77777777" w:rsidR="00CE6C69" w:rsidRDefault="00CE6C69" w:rsidP="00CE6C69">
      <w:pPr>
        <w:bidi w:val="0"/>
        <w:spacing w:line="276" w:lineRule="auto"/>
        <w:jc w:val="center"/>
        <w:rPr>
          <w:color w:val="000000"/>
        </w:rPr>
      </w:pPr>
    </w:p>
    <w:p w14:paraId="6CB05B62" w14:textId="77777777" w:rsidR="00D85AFF" w:rsidRDefault="00D85AFF">
      <w:pPr>
        <w:bidi w:val="0"/>
        <w:spacing w:after="200" w:line="276" w:lineRule="auto"/>
        <w:rPr>
          <w:color w:val="000000"/>
        </w:rPr>
      </w:pPr>
      <w:r>
        <w:rPr>
          <w:color w:val="000000"/>
        </w:rPr>
        <w:br w:type="page"/>
      </w:r>
    </w:p>
    <w:p w14:paraId="44AEAB06" w14:textId="77777777" w:rsidR="00CE6C69" w:rsidRPr="001F02EF" w:rsidRDefault="00CE6C69" w:rsidP="009918B9">
      <w:pPr>
        <w:bidi w:val="0"/>
        <w:jc w:val="center"/>
        <w:rPr>
          <w:color w:val="000000"/>
        </w:rPr>
      </w:pPr>
      <w:r w:rsidRPr="001F02EF">
        <w:rPr>
          <w:color w:val="000000"/>
        </w:rPr>
        <w:lastRenderedPageBreak/>
        <w:t>Chapter Four</w:t>
      </w:r>
    </w:p>
    <w:p w14:paraId="7BE3D8B9" w14:textId="77777777" w:rsidR="00CE6C69" w:rsidRPr="001147B0" w:rsidRDefault="00CE6C69" w:rsidP="00CE6C69">
      <w:pPr>
        <w:bidi w:val="0"/>
        <w:rPr>
          <w:rtl/>
          <w:lang w:eastAsia="en-US"/>
        </w:rPr>
      </w:pPr>
    </w:p>
    <w:p w14:paraId="6EFE1F59" w14:textId="77777777" w:rsidR="00CE6C69" w:rsidRDefault="00CE6C69" w:rsidP="00CE6C69">
      <w:pPr>
        <w:pStyle w:val="Heading1"/>
        <w:tabs>
          <w:tab w:val="right" w:pos="3600"/>
        </w:tabs>
        <w:rPr>
          <w:color w:val="000000"/>
          <w:szCs w:val="28"/>
        </w:rPr>
      </w:pPr>
      <w:r>
        <w:rPr>
          <w:color w:val="000000"/>
          <w:szCs w:val="28"/>
        </w:rPr>
        <w:t>Quality</w:t>
      </w:r>
    </w:p>
    <w:p w14:paraId="26059A23" w14:textId="77777777" w:rsidR="00CE6C69" w:rsidRDefault="00CE6C69" w:rsidP="00CE6C69">
      <w:pPr>
        <w:pStyle w:val="Heading2"/>
        <w:jc w:val="left"/>
        <w:rPr>
          <w:sz w:val="24"/>
          <w:szCs w:val="24"/>
        </w:rPr>
      </w:pPr>
      <w:bookmarkStart w:id="1" w:name="_GoBack"/>
      <w:bookmarkEnd w:id="1"/>
    </w:p>
    <w:p w14:paraId="3FF6ED7B" w14:textId="77777777" w:rsidR="00CE6C69" w:rsidRDefault="00CE6C69" w:rsidP="00CE6C69">
      <w:pPr>
        <w:bidi w:val="0"/>
        <w:rPr>
          <w:b/>
          <w:bCs/>
        </w:rPr>
      </w:pPr>
      <w:r w:rsidRPr="004D7FE0">
        <w:rPr>
          <w:b/>
          <w:bCs/>
        </w:rPr>
        <w:t>4.1 Accuracy</w:t>
      </w:r>
    </w:p>
    <w:p w14:paraId="7F016D6F" w14:textId="77777777" w:rsidR="00CE6C69" w:rsidRDefault="00CE6C69" w:rsidP="00A90E60">
      <w:pPr>
        <w:bidi w:val="0"/>
        <w:jc w:val="both"/>
      </w:pPr>
      <w:r>
        <w:t>The Palestinian Health A</w:t>
      </w:r>
      <w:r w:rsidRPr="003F620C">
        <w:t xml:space="preserve">ccounts </w:t>
      </w:r>
      <w:r w:rsidR="00A90E60">
        <w:t xml:space="preserve">were </w:t>
      </w:r>
      <w:r w:rsidRPr="003F620C">
        <w:t>prepared in Palestine based on a set of statistical sources (surveys and administrative records) and scientific methodologies</w:t>
      </w:r>
      <w:r>
        <w:rPr>
          <w:rFonts w:hint="cs"/>
          <w:rtl/>
        </w:rPr>
        <w:t xml:space="preserve"> </w:t>
      </w:r>
      <w:r>
        <w:t xml:space="preserve">according to international standards. Data processing is </w:t>
      </w:r>
      <w:r w:rsidRPr="003F620C">
        <w:t xml:space="preserve">automated through computerized programs, which </w:t>
      </w:r>
      <w:r>
        <w:t>minimize</w:t>
      </w:r>
      <w:r w:rsidRPr="003F620C">
        <w:t xml:space="preserve"> the probabilities of human errors. </w:t>
      </w:r>
      <w:r w:rsidRPr="00A07A31">
        <w:t>The computerized system</w:t>
      </w:r>
      <w:r w:rsidRPr="003F620C">
        <w:t xml:space="preserve"> of files contains a set of tests through equations to ensure that there are no errors in processing, conversion</w:t>
      </w:r>
      <w:r>
        <w:t>…etc</w:t>
      </w:r>
      <w:r w:rsidRPr="003F620C">
        <w:t>. Th</w:t>
      </w:r>
      <w:r>
        <w:t>o</w:t>
      </w:r>
      <w:r w:rsidRPr="003F620C">
        <w:t xml:space="preserve">se procedures ensure the </w:t>
      </w:r>
      <w:r>
        <w:t>minimization</w:t>
      </w:r>
      <w:r w:rsidRPr="003F620C">
        <w:t xml:space="preserve"> of errors that may result from omission or inaccuracy when preparing data.</w:t>
      </w:r>
    </w:p>
    <w:p w14:paraId="74D02EC9" w14:textId="77777777" w:rsidR="00CE6C69" w:rsidRPr="004D7FE0" w:rsidRDefault="00CE6C69" w:rsidP="00CE6C69">
      <w:pPr>
        <w:bidi w:val="0"/>
        <w:rPr>
          <w:b/>
          <w:bCs/>
        </w:rPr>
      </w:pPr>
    </w:p>
    <w:p w14:paraId="719FD1C6" w14:textId="77777777" w:rsidR="00CE6C69" w:rsidRPr="004D7FE0" w:rsidRDefault="00CE6C69" w:rsidP="00CE6C69">
      <w:pPr>
        <w:bidi w:val="0"/>
        <w:rPr>
          <w:b/>
          <w:bCs/>
        </w:rPr>
      </w:pPr>
      <w:r w:rsidRPr="004D7FE0">
        <w:rPr>
          <w:b/>
          <w:bCs/>
        </w:rPr>
        <w:t>4.2 Comparability</w:t>
      </w:r>
    </w:p>
    <w:p w14:paraId="1B3F8368" w14:textId="2554829F" w:rsidR="00CE6C69" w:rsidRDefault="00CE6C69" w:rsidP="005B3619">
      <w:pPr>
        <w:bidi w:val="0"/>
        <w:jc w:val="both"/>
        <w:rPr>
          <w:b/>
          <w:bCs/>
        </w:rPr>
      </w:pPr>
      <w:r w:rsidRPr="0049242D">
        <w:rPr>
          <w:color w:val="000000" w:themeColor="text1"/>
        </w:rPr>
        <w:t>Th</w:t>
      </w:r>
      <w:r w:rsidR="004322EE">
        <w:rPr>
          <w:color w:val="000000" w:themeColor="text1"/>
        </w:rPr>
        <w:t>e</w:t>
      </w:r>
      <w:r w:rsidRPr="0049242D">
        <w:rPr>
          <w:color w:val="000000" w:themeColor="text1"/>
        </w:rPr>
        <w:t xml:space="preserve"> report represents the annual Palestinian health e</w:t>
      </w:r>
      <w:r w:rsidR="002376A8">
        <w:rPr>
          <w:color w:val="000000" w:themeColor="text1"/>
        </w:rPr>
        <w:t xml:space="preserve">xpenditure tables for </w:t>
      </w:r>
      <w:r w:rsidR="005B3619">
        <w:rPr>
          <w:color w:val="000000" w:themeColor="text1"/>
        </w:rPr>
        <w:t>202</w:t>
      </w:r>
      <w:r w:rsidR="00C56EAD">
        <w:rPr>
          <w:color w:val="000000" w:themeColor="text1"/>
        </w:rPr>
        <w:t>1</w:t>
      </w:r>
      <w:r w:rsidR="002376A8">
        <w:rPr>
          <w:color w:val="000000" w:themeColor="text1"/>
        </w:rPr>
        <w:t xml:space="preserve">, </w:t>
      </w:r>
      <w:r w:rsidR="005B13E6">
        <w:rPr>
          <w:color w:val="000000" w:themeColor="text1"/>
        </w:rPr>
        <w:t>20</w:t>
      </w:r>
      <w:r w:rsidR="005B3619">
        <w:rPr>
          <w:color w:val="000000" w:themeColor="text1"/>
        </w:rPr>
        <w:t>2</w:t>
      </w:r>
      <w:r w:rsidR="00C56EAD">
        <w:rPr>
          <w:color w:val="000000" w:themeColor="text1"/>
        </w:rPr>
        <w:t>2</w:t>
      </w:r>
      <w:r w:rsidR="00511A55" w:rsidRPr="0049242D">
        <w:rPr>
          <w:color w:val="000000" w:themeColor="text1"/>
          <w:lang w:eastAsia="en-US" w:bidi="ar-JO"/>
        </w:rPr>
        <w:t>,</w:t>
      </w:r>
      <w:r w:rsidRPr="0049242D">
        <w:rPr>
          <w:color w:val="000000" w:themeColor="text1"/>
        </w:rPr>
        <w:t xml:space="preserve"> which illustrate the Palestinian financing schemes, financing agents and types of financing revenues, as well as total expenditure distributed by </w:t>
      </w:r>
      <w:r>
        <w:t>health functions and providers of health services in Palestine. The data was presented as a matrix of health expenditure by providers and financing schemes, matrix of functions and financing schemes and total expenditure by providers and health functions.</w:t>
      </w:r>
      <w:r>
        <w:rPr>
          <w:b/>
          <w:bCs/>
        </w:rPr>
        <w:t xml:space="preserve"> </w:t>
      </w:r>
    </w:p>
    <w:p w14:paraId="6EA0E49A" w14:textId="77777777" w:rsidR="00CE6C69" w:rsidRDefault="00CE6C69" w:rsidP="00CE6C69">
      <w:pPr>
        <w:bidi w:val="0"/>
        <w:rPr>
          <w:b/>
          <w:bCs/>
        </w:rPr>
      </w:pPr>
    </w:p>
    <w:p w14:paraId="2D6ECE26" w14:textId="77777777" w:rsidR="00CE6C69" w:rsidRDefault="00CE6C69" w:rsidP="00CE6C69">
      <w:pPr>
        <w:bidi w:val="0"/>
        <w:rPr>
          <w:b/>
          <w:bCs/>
        </w:rPr>
      </w:pPr>
      <w:r w:rsidRPr="004D7FE0">
        <w:rPr>
          <w:b/>
          <w:bCs/>
        </w:rPr>
        <w:t>4.3 Data Quality</w:t>
      </w:r>
    </w:p>
    <w:p w14:paraId="0EE7585B" w14:textId="77777777" w:rsidR="00CE6C69" w:rsidRPr="00E4676C" w:rsidRDefault="00CE6C69" w:rsidP="00CE6C69">
      <w:pPr>
        <w:bidi w:val="0"/>
        <w:rPr>
          <w:b/>
          <w:bCs/>
          <w:sz w:val="20"/>
          <w:szCs w:val="20"/>
        </w:rPr>
      </w:pPr>
    </w:p>
    <w:p w14:paraId="5C3558A6" w14:textId="77777777" w:rsidR="00CE6C69" w:rsidRDefault="00CE6C69" w:rsidP="00CE6C69">
      <w:pPr>
        <w:bidi w:val="0"/>
        <w:rPr>
          <w:b/>
          <w:bCs/>
          <w:rtl/>
        </w:rPr>
      </w:pPr>
      <w:r>
        <w:rPr>
          <w:b/>
          <w:bCs/>
        </w:rPr>
        <w:t>4.3.1 Coverage and I</w:t>
      </w:r>
      <w:r w:rsidRPr="00A13B11">
        <w:rPr>
          <w:b/>
          <w:bCs/>
        </w:rPr>
        <w:t>nclusiveness</w:t>
      </w:r>
    </w:p>
    <w:p w14:paraId="0596BDFC" w14:textId="77777777" w:rsidR="00CE6C69" w:rsidRDefault="00CE6C69" w:rsidP="00CE6C69">
      <w:pPr>
        <w:bidi w:val="0"/>
        <w:jc w:val="both"/>
      </w:pPr>
      <w:r>
        <w:t>Since the Palestinian health accounts were established, PCBS has worked strenuously to ensure data quality and coverage by the adoption of a number of practices, which can be summarized as follows:</w:t>
      </w:r>
    </w:p>
    <w:p w14:paraId="030332AF" w14:textId="77777777" w:rsidR="00CE6C69" w:rsidRDefault="00CE6C69" w:rsidP="00CE6C69">
      <w:pPr>
        <w:numPr>
          <w:ilvl w:val="0"/>
          <w:numId w:val="3"/>
        </w:numPr>
        <w:tabs>
          <w:tab w:val="clear" w:pos="360"/>
        </w:tabs>
        <w:bidi w:val="0"/>
        <w:ind w:left="426" w:hanging="284"/>
        <w:jc w:val="lowKashida"/>
      </w:pPr>
      <w:r>
        <w:t>Conducting specialized surveys covering health activities; such as the health care providers and beneficiaries survey.</w:t>
      </w:r>
    </w:p>
    <w:p w14:paraId="2CBC17A7" w14:textId="77777777" w:rsidR="00CE6C69" w:rsidRDefault="00CE6C69" w:rsidP="00CE6C69">
      <w:pPr>
        <w:numPr>
          <w:ilvl w:val="0"/>
          <w:numId w:val="3"/>
        </w:numPr>
        <w:tabs>
          <w:tab w:val="clear" w:pos="360"/>
        </w:tabs>
        <w:bidi w:val="0"/>
        <w:ind w:left="426" w:hanging="284"/>
        <w:jc w:val="lowKashida"/>
      </w:pPr>
      <w:r>
        <w:t xml:space="preserve">Conducting such </w:t>
      </w:r>
      <w:r w:rsidR="002376A8">
        <w:t>survey</w:t>
      </w:r>
      <w:r w:rsidR="002376A8" w:rsidRPr="005C2246" w:rsidDel="002909E6">
        <w:t xml:space="preserve"> </w:t>
      </w:r>
      <w:r w:rsidR="002376A8">
        <w:t>as</w:t>
      </w:r>
      <w:r w:rsidRPr="005C2246">
        <w:t xml:space="preserve"> an </w:t>
      </w:r>
      <w:r>
        <w:t>attachment to finance and insurance survey to cover health insurance.</w:t>
      </w:r>
    </w:p>
    <w:p w14:paraId="46E41E5D" w14:textId="77777777" w:rsidR="00CE6C69" w:rsidRDefault="00CE6C69" w:rsidP="00CE6C69">
      <w:pPr>
        <w:numPr>
          <w:ilvl w:val="0"/>
          <w:numId w:val="3"/>
        </w:numPr>
        <w:tabs>
          <w:tab w:val="clear" w:pos="360"/>
        </w:tabs>
        <w:bidi w:val="0"/>
        <w:ind w:left="426" w:hanging="284"/>
        <w:jc w:val="lowKashida"/>
      </w:pPr>
      <w:r w:rsidRPr="004C3C18">
        <w:t>Developing data quality</w:t>
      </w:r>
      <w:r>
        <w:t xml:space="preserve"> for the detailed items of the health expenditure by providers and function of care based on specialized studies.</w:t>
      </w:r>
    </w:p>
    <w:p w14:paraId="386DA536" w14:textId="77777777" w:rsidR="00CE6C69" w:rsidRDefault="00CE6C69" w:rsidP="00CE6C69">
      <w:pPr>
        <w:numPr>
          <w:ilvl w:val="0"/>
          <w:numId w:val="3"/>
        </w:numPr>
        <w:tabs>
          <w:tab w:val="clear" w:pos="360"/>
        </w:tabs>
        <w:bidi w:val="0"/>
        <w:ind w:left="426" w:hanging="284"/>
        <w:jc w:val="lowKashida"/>
      </w:pPr>
      <w:r>
        <w:t>Developing data consistency after updating data from various sources and comparing data structure (percentage of total health expenditure according to the source of funding, health care provider and function of care), in addition to comparing consistency during the time series.</w:t>
      </w:r>
    </w:p>
    <w:p w14:paraId="6167D0C5" w14:textId="77777777" w:rsidR="00CE6C69" w:rsidRDefault="00CE6C69" w:rsidP="00CE6C69">
      <w:pPr>
        <w:bidi w:val="0"/>
        <w:ind w:left="360"/>
        <w:jc w:val="lowKashida"/>
      </w:pPr>
    </w:p>
    <w:p w14:paraId="66C112B2" w14:textId="77777777" w:rsidR="00CE6C69" w:rsidRDefault="00CE6C69" w:rsidP="00CE6C69">
      <w:pPr>
        <w:bidi w:val="0"/>
        <w:ind w:left="360" w:hanging="360"/>
        <w:jc w:val="lowKashida"/>
        <w:rPr>
          <w:b/>
          <w:bCs/>
        </w:rPr>
      </w:pPr>
      <w:r w:rsidRPr="003C6DA2">
        <w:rPr>
          <w:b/>
          <w:bCs/>
        </w:rPr>
        <w:t xml:space="preserve">4.4 </w:t>
      </w:r>
      <w:r>
        <w:rPr>
          <w:b/>
          <w:bCs/>
        </w:rPr>
        <w:t>Technical issues</w:t>
      </w:r>
    </w:p>
    <w:p w14:paraId="17F71D8B" w14:textId="77777777" w:rsidR="00CE6C69" w:rsidRPr="00E4676C" w:rsidRDefault="00CE6C69" w:rsidP="00CE6C69">
      <w:pPr>
        <w:bidi w:val="0"/>
        <w:ind w:left="360" w:hanging="360"/>
        <w:jc w:val="lowKashida"/>
        <w:rPr>
          <w:b/>
          <w:bCs/>
          <w:sz w:val="20"/>
          <w:szCs w:val="20"/>
        </w:rPr>
      </w:pPr>
    </w:p>
    <w:p w14:paraId="7E352007" w14:textId="77777777" w:rsidR="00CE6C69" w:rsidRDefault="00CE6C69" w:rsidP="00CE6C69">
      <w:pPr>
        <w:pStyle w:val="Heading2"/>
        <w:jc w:val="both"/>
        <w:rPr>
          <w:sz w:val="24"/>
          <w:szCs w:val="24"/>
        </w:rPr>
      </w:pPr>
      <w:r>
        <w:rPr>
          <w:sz w:val="24"/>
          <w:szCs w:val="24"/>
        </w:rPr>
        <w:t>4.4.1 Technical issues about</w:t>
      </w:r>
      <w:r w:rsidRPr="00516D53">
        <w:rPr>
          <w:sz w:val="24"/>
          <w:szCs w:val="24"/>
        </w:rPr>
        <w:t xml:space="preserve"> adoption </w:t>
      </w:r>
      <w:r>
        <w:rPr>
          <w:sz w:val="24"/>
          <w:szCs w:val="24"/>
        </w:rPr>
        <w:t xml:space="preserve">of </w:t>
      </w:r>
      <w:r w:rsidRPr="00516D53">
        <w:rPr>
          <w:sz w:val="24"/>
          <w:szCs w:val="24"/>
        </w:rPr>
        <w:t>the System of Health Accounts, 2011 edition</w:t>
      </w:r>
      <w:r>
        <w:rPr>
          <w:sz w:val="24"/>
          <w:szCs w:val="24"/>
        </w:rPr>
        <w:t xml:space="preserve"> </w:t>
      </w:r>
      <w:r w:rsidRPr="00516D53">
        <w:rPr>
          <w:sz w:val="24"/>
          <w:szCs w:val="24"/>
        </w:rPr>
        <w:t>as a comprehensive framework</w:t>
      </w:r>
    </w:p>
    <w:p w14:paraId="571AB822" w14:textId="77777777" w:rsidR="00CE6C69" w:rsidRDefault="00CE6C69" w:rsidP="00E511B0">
      <w:pPr>
        <w:numPr>
          <w:ilvl w:val="0"/>
          <w:numId w:val="3"/>
        </w:numPr>
        <w:tabs>
          <w:tab w:val="clear" w:pos="360"/>
        </w:tabs>
        <w:bidi w:val="0"/>
        <w:ind w:left="426" w:hanging="284"/>
        <w:jc w:val="lowKashida"/>
      </w:pPr>
      <w:r>
        <w:t xml:space="preserve">Processing of financing source </w:t>
      </w:r>
      <w:r w:rsidR="00E511B0">
        <w:t xml:space="preserve">for </w:t>
      </w:r>
      <w:r>
        <w:t>Ministry of Health through the distribution of revenues by source: internal (local revenues) and external (rest of the world).</w:t>
      </w:r>
    </w:p>
    <w:p w14:paraId="3716D97A" w14:textId="77777777" w:rsidR="00CE6C69" w:rsidRPr="00385CE3" w:rsidRDefault="00CE6C69" w:rsidP="00CE6C69">
      <w:pPr>
        <w:numPr>
          <w:ilvl w:val="0"/>
          <w:numId w:val="3"/>
        </w:numPr>
        <w:tabs>
          <w:tab w:val="clear" w:pos="360"/>
        </w:tabs>
        <w:bidi w:val="0"/>
        <w:ind w:left="426" w:hanging="284"/>
        <w:jc w:val="lowKashida"/>
      </w:pPr>
      <w:r w:rsidRPr="00385CE3">
        <w:t>Expenditure of rest of the world was collected from two sources</w:t>
      </w:r>
      <w:r>
        <w:t>:</w:t>
      </w:r>
      <w:r w:rsidRPr="00385CE3">
        <w:t xml:space="preserve"> the economic surveys for non-profit health institutions</w:t>
      </w:r>
      <w:r>
        <w:t>,</w:t>
      </w:r>
      <w:r w:rsidRPr="00385CE3">
        <w:t xml:space="preserve"> and the external funding of Palestinian Ministry of Health. </w:t>
      </w:r>
    </w:p>
    <w:p w14:paraId="02A1F118" w14:textId="77777777" w:rsidR="00CE6C69" w:rsidRDefault="00CE6C69" w:rsidP="00CE6C69">
      <w:pPr>
        <w:numPr>
          <w:ilvl w:val="0"/>
          <w:numId w:val="3"/>
        </w:numPr>
        <w:tabs>
          <w:tab w:val="clear" w:pos="360"/>
        </w:tabs>
        <w:bidi w:val="0"/>
        <w:ind w:left="426" w:hanging="284"/>
        <w:jc w:val="lowKashida"/>
      </w:pPr>
      <w:r>
        <w:t xml:space="preserve">Reclassification of health expenditure transaction after changing the system of health accounts (2011 edition) taking into consideration - while being implemented- that some of the transactions were transferred to the reporting items in the new system that were deducted from the total current health costs in the new system.   </w:t>
      </w:r>
    </w:p>
    <w:p w14:paraId="19AADC0B" w14:textId="77777777" w:rsidR="00CE6C69" w:rsidRDefault="00CE6C69" w:rsidP="005B3619">
      <w:pPr>
        <w:numPr>
          <w:ilvl w:val="0"/>
          <w:numId w:val="3"/>
        </w:numPr>
        <w:tabs>
          <w:tab w:val="clear" w:pos="360"/>
        </w:tabs>
        <w:bidi w:val="0"/>
        <w:ind w:left="426" w:hanging="284"/>
        <w:jc w:val="lowKashida"/>
      </w:pPr>
      <w:r>
        <w:lastRenderedPageBreak/>
        <w:t xml:space="preserve">Premium of health insurance which was paid by households was canceled through processing of </w:t>
      </w:r>
      <w:r w:rsidR="005B3619">
        <w:t>2020</w:t>
      </w:r>
      <w:r w:rsidR="002376A8">
        <w:t xml:space="preserve">, </w:t>
      </w:r>
      <w:r w:rsidR="005B3619">
        <w:t>2021</w:t>
      </w:r>
      <w:r>
        <w:t xml:space="preserve"> data depending on </w:t>
      </w:r>
      <w:r w:rsidR="00B50533" w:rsidRPr="00227A07">
        <w:t>S</w:t>
      </w:r>
      <w:r w:rsidR="00A90E60">
        <w:t xml:space="preserve">ystem </w:t>
      </w:r>
      <w:r>
        <w:t xml:space="preserve">of </w:t>
      </w:r>
      <w:r w:rsidR="00A90E60">
        <w:t xml:space="preserve">Health Accounts </w:t>
      </w:r>
      <w:r>
        <w:t>concepts while the total expenditure on health outside Palestine by household was added to the Palestinian current health expenditure.</w:t>
      </w:r>
    </w:p>
    <w:p w14:paraId="4AC85FEC" w14:textId="77777777" w:rsidR="00CE6C69" w:rsidRDefault="00CE6C69" w:rsidP="00CE6C69">
      <w:pPr>
        <w:numPr>
          <w:ilvl w:val="0"/>
          <w:numId w:val="3"/>
        </w:numPr>
        <w:tabs>
          <w:tab w:val="clear" w:pos="360"/>
        </w:tabs>
        <w:bidi w:val="0"/>
        <w:ind w:left="426" w:hanging="284"/>
        <w:jc w:val="lowKashida"/>
      </w:pPr>
      <w:r>
        <w:t>Splitting the total health expenditure to current expenditure and capital expenditure based on guidance of system of health accounts (2011 edition).</w:t>
      </w:r>
    </w:p>
    <w:p w14:paraId="0414CDFC" w14:textId="77777777" w:rsidR="00CE6C69" w:rsidRPr="00A13B11" w:rsidRDefault="00CE6C69" w:rsidP="00CE6C69">
      <w:pPr>
        <w:bidi w:val="0"/>
        <w:rPr>
          <w:color w:val="000000"/>
          <w:rtl/>
        </w:rPr>
      </w:pPr>
    </w:p>
    <w:p w14:paraId="2D2EE995" w14:textId="77777777" w:rsidR="00CE6C69" w:rsidRPr="004D7FE0" w:rsidRDefault="00CE6C69" w:rsidP="00CE6C69">
      <w:pPr>
        <w:bidi w:val="0"/>
        <w:jc w:val="both"/>
        <w:rPr>
          <w:b/>
          <w:bCs/>
        </w:rPr>
      </w:pPr>
      <w:r w:rsidRPr="004D7FE0">
        <w:rPr>
          <w:b/>
          <w:bCs/>
        </w:rPr>
        <w:t>4.4</w:t>
      </w:r>
      <w:r>
        <w:rPr>
          <w:b/>
          <w:bCs/>
        </w:rPr>
        <w:t>.2</w:t>
      </w:r>
      <w:r w:rsidRPr="004D7FE0">
        <w:rPr>
          <w:b/>
          <w:bCs/>
        </w:rPr>
        <w:t xml:space="preserve"> </w:t>
      </w:r>
      <w:r>
        <w:rPr>
          <w:b/>
          <w:bCs/>
        </w:rPr>
        <w:t>Other t</w:t>
      </w:r>
      <w:r w:rsidRPr="004D7FE0">
        <w:rPr>
          <w:b/>
          <w:bCs/>
        </w:rPr>
        <w:t xml:space="preserve">echnical </w:t>
      </w:r>
      <w:r>
        <w:rPr>
          <w:b/>
          <w:bCs/>
        </w:rPr>
        <w:t>Notes</w:t>
      </w:r>
    </w:p>
    <w:p w14:paraId="7BC3B2F8" w14:textId="77777777" w:rsidR="00CE6C69" w:rsidRDefault="00CE6C69" w:rsidP="00AD4FBE">
      <w:pPr>
        <w:bidi w:val="0"/>
        <w:jc w:val="both"/>
        <w:rPr>
          <w:rStyle w:val="longtext1"/>
          <w:color w:val="000000"/>
          <w:sz w:val="24"/>
          <w:szCs w:val="24"/>
        </w:rPr>
      </w:pPr>
      <w:r>
        <w:rPr>
          <w:rStyle w:val="longtext1"/>
          <w:color w:val="000000"/>
          <w:sz w:val="24"/>
          <w:szCs w:val="24"/>
          <w:shd w:val="clear" w:color="auto" w:fill="FFFFFF"/>
        </w:rPr>
        <w:t xml:space="preserve">Despite </w:t>
      </w:r>
      <w:r w:rsidR="00AD4FBE">
        <w:rPr>
          <w:rStyle w:val="longtext1"/>
          <w:color w:val="000000"/>
          <w:sz w:val="24"/>
          <w:szCs w:val="24"/>
          <w:shd w:val="clear" w:color="auto" w:fill="FFFFFF"/>
        </w:rPr>
        <w:t>all taken</w:t>
      </w:r>
      <w:r>
        <w:rPr>
          <w:rStyle w:val="longtext1"/>
          <w:color w:val="000000"/>
          <w:sz w:val="24"/>
          <w:szCs w:val="24"/>
          <w:shd w:val="clear" w:color="auto" w:fill="FFFFFF"/>
        </w:rPr>
        <w:t xml:space="preserve"> measures, some challenges remained </w:t>
      </w:r>
      <w:r w:rsidR="00AD4FBE">
        <w:rPr>
          <w:rStyle w:val="longtext1"/>
          <w:color w:val="000000"/>
          <w:sz w:val="24"/>
          <w:szCs w:val="24"/>
          <w:shd w:val="clear" w:color="auto" w:fill="FFFFFF"/>
        </w:rPr>
        <w:t xml:space="preserve">facing the </w:t>
      </w:r>
      <w:r>
        <w:rPr>
          <w:rStyle w:val="longtext1"/>
          <w:color w:val="000000"/>
          <w:sz w:val="24"/>
          <w:szCs w:val="24"/>
          <w:shd w:val="clear" w:color="auto" w:fill="FFFFFF"/>
        </w:rPr>
        <w:t>development of coverage and comprehensiveness of the data, primarily:</w:t>
      </w:r>
    </w:p>
    <w:p w14:paraId="1DB5DCFD" w14:textId="77777777" w:rsidR="00CE6C69" w:rsidRPr="00385CE3" w:rsidRDefault="00CE6C69" w:rsidP="00AD4FBE">
      <w:pPr>
        <w:numPr>
          <w:ilvl w:val="0"/>
          <w:numId w:val="3"/>
        </w:numPr>
        <w:tabs>
          <w:tab w:val="clear" w:pos="360"/>
        </w:tabs>
        <w:bidi w:val="0"/>
        <w:ind w:left="426" w:hanging="284"/>
        <w:jc w:val="lowKashida"/>
      </w:pPr>
      <w:r w:rsidRPr="00385CE3">
        <w:t xml:space="preserve">The lack of financial statements for the military medical services sector, which is part of government </w:t>
      </w:r>
      <w:r w:rsidR="00AD4FBE">
        <w:t>expenditure</w:t>
      </w:r>
      <w:r w:rsidRPr="00385CE3">
        <w:t>.</w:t>
      </w:r>
    </w:p>
    <w:p w14:paraId="64EBAA5A" w14:textId="77777777" w:rsidR="00CE6C69" w:rsidRPr="00385CE3" w:rsidRDefault="00CE6C69" w:rsidP="00AD4FBE">
      <w:pPr>
        <w:numPr>
          <w:ilvl w:val="0"/>
          <w:numId w:val="3"/>
        </w:numPr>
        <w:tabs>
          <w:tab w:val="clear" w:pos="360"/>
        </w:tabs>
        <w:bidi w:val="0"/>
        <w:ind w:left="426" w:hanging="284"/>
        <w:jc w:val="lowKashida"/>
      </w:pPr>
      <w:r w:rsidRPr="00385CE3">
        <w:t>Data for non-profit institutions serving households (NPISH) have two sources, namely UNRWA (as the main provider of health services in Palestine)</w:t>
      </w:r>
      <w:r>
        <w:t>;</w:t>
      </w:r>
      <w:r w:rsidRPr="00385CE3">
        <w:t xml:space="preserve"> and secondly, charitable associations working to provide medical services in different governorates as ascertained in the economic surveys and weighted to reflect conditions </w:t>
      </w:r>
      <w:r w:rsidR="00AD4FBE">
        <w:t xml:space="preserve">of the </w:t>
      </w:r>
      <w:r w:rsidRPr="00385CE3">
        <w:t>economy.</w:t>
      </w:r>
    </w:p>
    <w:p w14:paraId="3FF333BC" w14:textId="77777777" w:rsidR="00CE6C69" w:rsidRPr="00265EE1" w:rsidRDefault="00CE6C69" w:rsidP="00AD4FBE">
      <w:pPr>
        <w:numPr>
          <w:ilvl w:val="0"/>
          <w:numId w:val="3"/>
        </w:numPr>
        <w:tabs>
          <w:tab w:val="clear" w:pos="360"/>
        </w:tabs>
        <w:bidi w:val="0"/>
        <w:ind w:left="426" w:hanging="284"/>
        <w:jc w:val="lowKashida"/>
        <w:rPr>
          <w:color w:val="000000" w:themeColor="text1"/>
          <w:lang w:eastAsia="en-US"/>
        </w:rPr>
      </w:pPr>
      <w:r w:rsidRPr="00385CE3">
        <w:t xml:space="preserve">Health expenditure covered Palestine </w:t>
      </w:r>
      <w:r w:rsidR="00AD4FBE">
        <w:t xml:space="preserve">As a whole </w:t>
      </w:r>
      <w:r w:rsidR="00E309DD">
        <w:t>(</w:t>
      </w:r>
      <w:r w:rsidR="00AD4FBE">
        <w:t xml:space="preserve">not </w:t>
      </w:r>
      <w:r w:rsidR="00E309DD">
        <w:t xml:space="preserve">the </w:t>
      </w:r>
      <w:r w:rsidR="00AD4FBE">
        <w:t>West Bank and Gaza Strip</w:t>
      </w:r>
      <w:r w:rsidR="00E309DD">
        <w:t xml:space="preserve"> separately)</w:t>
      </w:r>
      <w:r w:rsidR="00AD4FBE">
        <w:t xml:space="preserve"> due to the lake of detailed data sources.</w:t>
      </w:r>
    </w:p>
    <w:p w14:paraId="7014827E" w14:textId="77777777" w:rsidR="00CE6C69" w:rsidRDefault="00CE6C69" w:rsidP="00CE6C69">
      <w:pPr>
        <w:bidi w:val="0"/>
        <w:jc w:val="both"/>
        <w:rPr>
          <w:color w:val="000000"/>
          <w:sz w:val="28"/>
          <w:szCs w:val="28"/>
          <w:lang w:val="en-GB"/>
        </w:rPr>
      </w:pPr>
    </w:p>
    <w:p w14:paraId="5DDF1BC0" w14:textId="77777777" w:rsidR="00CE6C69" w:rsidRDefault="00CE6C69" w:rsidP="00CE6C69">
      <w:pPr>
        <w:bidi w:val="0"/>
        <w:jc w:val="center"/>
        <w:rPr>
          <w:color w:val="000000"/>
          <w:sz w:val="28"/>
          <w:szCs w:val="28"/>
          <w:lang w:val="en-GB"/>
        </w:rPr>
      </w:pPr>
      <w:r>
        <w:rPr>
          <w:color w:val="000000"/>
          <w:sz w:val="28"/>
          <w:szCs w:val="28"/>
          <w:lang w:val="en-GB"/>
        </w:rPr>
        <w:br/>
      </w:r>
    </w:p>
    <w:p w14:paraId="533877E1" w14:textId="77777777" w:rsidR="00CE6C69" w:rsidRDefault="00CE6C69" w:rsidP="00CE6C69">
      <w:pPr>
        <w:bidi w:val="0"/>
        <w:spacing w:line="276" w:lineRule="auto"/>
        <w:jc w:val="center"/>
        <w:rPr>
          <w:color w:val="000000"/>
          <w:sz w:val="28"/>
          <w:szCs w:val="28"/>
          <w:lang w:val="en-GB"/>
        </w:rPr>
      </w:pPr>
    </w:p>
    <w:p w14:paraId="385BD87E" w14:textId="77777777" w:rsidR="009839BC" w:rsidRDefault="009839BC" w:rsidP="00385CE3">
      <w:pPr>
        <w:bidi w:val="0"/>
        <w:spacing w:line="276" w:lineRule="auto"/>
        <w:jc w:val="center"/>
        <w:rPr>
          <w:color w:val="000000"/>
          <w:sz w:val="28"/>
          <w:szCs w:val="28"/>
          <w:lang w:val="en-GB"/>
        </w:rPr>
      </w:pPr>
    </w:p>
    <w:sectPr w:rsidR="009839BC" w:rsidSect="00D85AFF">
      <w:headerReference w:type="default" r:id="rId15"/>
      <w:footerReference w:type="default" r:id="rId16"/>
      <w:pgSz w:w="11907" w:h="16840" w:code="9"/>
      <w:pgMar w:top="1418" w:right="1418" w:bottom="1418" w:left="1418" w:header="709" w:footer="709" w:gutter="0"/>
      <w:pgNumType w:start="15"/>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DBDF3" w14:textId="77777777" w:rsidR="005A4EFB" w:rsidRDefault="005A4EFB">
      <w:pPr>
        <w:rPr>
          <w:rtl/>
        </w:rPr>
      </w:pPr>
      <w:r>
        <w:separator/>
      </w:r>
    </w:p>
  </w:endnote>
  <w:endnote w:type="continuationSeparator" w:id="0">
    <w:p w14:paraId="2DFC7100" w14:textId="77777777" w:rsidR="005A4EFB" w:rsidRDefault="005A4EFB">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3730A" w14:textId="1DE7851C" w:rsidR="0009742D" w:rsidRDefault="004C20E3" w:rsidP="000B664B">
    <w:pPr>
      <w:pStyle w:val="Footer"/>
      <w:jc w:val="center"/>
    </w:pPr>
    <w:r>
      <w:rPr>
        <w:rFonts w:hint="cs"/>
        <w:rtl/>
      </w:rPr>
      <w:t xml:space="preserve"> [</w:t>
    </w:r>
    <w:r>
      <w:fldChar w:fldCharType="begin"/>
    </w:r>
    <w:r>
      <w:instrText xml:space="preserve"> PAGE   \* MERGEFORMAT </w:instrText>
    </w:r>
    <w:r>
      <w:fldChar w:fldCharType="separate"/>
    </w:r>
    <w:r w:rsidR="00860B68">
      <w:rPr>
        <w:rtl/>
      </w:rPr>
      <w:t>30</w:t>
    </w:r>
    <w:r>
      <w:fldChar w:fldCharType="end"/>
    </w:r>
    <w:r>
      <w:rPr>
        <w:rFonts w:hint="cs"/>
        <w:rtl/>
      </w:rPr>
      <w:t>]</w:t>
    </w:r>
  </w:p>
  <w:p w14:paraId="253116A8" w14:textId="77777777" w:rsidR="0009742D" w:rsidRDefault="0009742D">
    <w:pPr>
      <w:pStyle w:val="Footer"/>
      <w:ind w:firstLine="360"/>
      <w:rPr>
        <w:rFonts w:cs="Traditional Arabic"/>
        <w:noProof w:val="0"/>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D148B" w14:textId="77777777" w:rsidR="005A4EFB" w:rsidRDefault="005A4EFB" w:rsidP="00DA0C78">
      <w:pPr>
        <w:jc w:val="right"/>
        <w:rPr>
          <w:rtl/>
        </w:rPr>
      </w:pPr>
      <w:r>
        <w:separator/>
      </w:r>
    </w:p>
  </w:footnote>
  <w:footnote w:type="continuationSeparator" w:id="0">
    <w:p w14:paraId="497E64DD" w14:textId="77777777" w:rsidR="005A4EFB" w:rsidRDefault="005A4EFB">
      <w:pPr>
        <w:rPr>
          <w:rtl/>
        </w:rPr>
      </w:pPr>
      <w:r>
        <w:continuationSeparator/>
      </w:r>
    </w:p>
  </w:footnote>
  <w:footnote w:id="1">
    <w:p w14:paraId="302F0815" w14:textId="77777777" w:rsidR="00614413" w:rsidRPr="00C36779" w:rsidRDefault="00614413" w:rsidP="00614413">
      <w:pPr>
        <w:pStyle w:val="FootnoteText"/>
        <w:rPr>
          <w:sz w:val="18"/>
          <w:szCs w:val="22"/>
        </w:rPr>
      </w:pPr>
      <w:r w:rsidRPr="00C36779">
        <w:rPr>
          <w:rStyle w:val="FootnoteReference"/>
          <w:sz w:val="18"/>
          <w:szCs w:val="22"/>
        </w:rPr>
        <w:footnoteRef/>
      </w:r>
      <w:r w:rsidRPr="00C36779">
        <w:rPr>
          <w:sz w:val="18"/>
          <w:szCs w:val="22"/>
        </w:rPr>
        <w:t xml:space="preserve"> Include</w:t>
      </w:r>
      <w:r>
        <w:rPr>
          <w:sz w:val="18"/>
          <w:szCs w:val="22"/>
        </w:rPr>
        <w:t>s</w:t>
      </w:r>
      <w:r w:rsidRPr="00C36779">
        <w:rPr>
          <w:sz w:val="18"/>
          <w:szCs w:val="22"/>
        </w:rPr>
        <w:t xml:space="preserve"> all sources of funding.</w:t>
      </w:r>
    </w:p>
  </w:footnote>
  <w:footnote w:id="2">
    <w:p w14:paraId="1755CED2" w14:textId="77777777" w:rsidR="00614413" w:rsidRDefault="00614413" w:rsidP="00614413">
      <w:pPr>
        <w:pStyle w:val="FootnoteText"/>
      </w:pPr>
      <w:r>
        <w:rPr>
          <w:rStyle w:val="FootnoteReference"/>
        </w:rPr>
        <w:footnoteRef/>
      </w:r>
      <w:r>
        <w:t xml:space="preserve"> The value of gross capital formation during </w:t>
      </w:r>
      <w:r>
        <w:rPr>
          <w:sz w:val="22"/>
          <w:szCs w:val="22"/>
        </w:rPr>
        <w:t>2021</w:t>
      </w:r>
      <w:r>
        <w:t xml:space="preserve"> was not available.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17718" w14:textId="30844AFB" w:rsidR="0009742D" w:rsidRPr="00F93F69" w:rsidRDefault="0009742D" w:rsidP="000C13B6">
    <w:pPr>
      <w:pStyle w:val="Header"/>
      <w:bidi w:val="0"/>
      <w:rPr>
        <w:rFonts w:cs="Traditional Arabic"/>
        <w:noProof w:val="0"/>
        <w:sz w:val="16"/>
        <w:szCs w:val="16"/>
      </w:rPr>
    </w:pPr>
    <w:r w:rsidRPr="00F93F69">
      <w:rPr>
        <w:rFonts w:cs="Traditional Arabic"/>
        <w:noProof w:val="0"/>
        <w:sz w:val="16"/>
        <w:szCs w:val="16"/>
      </w:rPr>
      <w:t xml:space="preserve">PCBS: Statistical Report, </w:t>
    </w:r>
    <w:r w:rsidR="00C33BF1">
      <w:rPr>
        <w:rFonts w:cs="Traditional Arabic"/>
        <w:noProof w:val="0"/>
        <w:sz w:val="16"/>
        <w:szCs w:val="16"/>
      </w:rPr>
      <w:t>Palestinian Health Accounts</w:t>
    </w:r>
    <w:r w:rsidR="00100586">
      <w:rPr>
        <w:rFonts w:cs="Traditional Arabic"/>
        <w:noProof w:val="0"/>
        <w:sz w:val="16"/>
        <w:szCs w:val="16"/>
      </w:rPr>
      <w:t>,</w:t>
    </w:r>
    <w:r>
      <w:rPr>
        <w:rFonts w:cs="Traditional Arabic"/>
        <w:noProof w:val="0"/>
        <w:sz w:val="16"/>
        <w:szCs w:val="16"/>
      </w:rPr>
      <w:t xml:space="preserve"> </w:t>
    </w:r>
    <w:r w:rsidR="004C20E3">
      <w:rPr>
        <w:rFonts w:cs="Traditional Arabic" w:hint="cs"/>
        <w:noProof w:val="0"/>
        <w:sz w:val="16"/>
        <w:szCs w:val="16"/>
        <w:rtl/>
      </w:rPr>
      <w:t>202</w:t>
    </w:r>
    <w:r w:rsidR="003D1656">
      <w:rPr>
        <w:rFonts w:cs="Traditional Arabic"/>
        <w:noProof w:val="0"/>
        <w:sz w:val="16"/>
        <w:szCs w:val="16"/>
      </w:rPr>
      <w:t>2</w:t>
    </w:r>
  </w:p>
  <w:p w14:paraId="6382C4EF" w14:textId="77777777" w:rsidR="0009742D" w:rsidRDefault="0009742D">
    <w:pPr>
      <w:pStyle w:val="Header"/>
      <w:rPr>
        <w:rFonts w:cs="Traditional Arabic"/>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05B1B"/>
    <w:multiLevelType w:val="hybridMultilevel"/>
    <w:tmpl w:val="EDE64624"/>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B01AA1"/>
    <w:multiLevelType w:val="hybridMultilevel"/>
    <w:tmpl w:val="FA4862D8"/>
    <w:lvl w:ilvl="0" w:tplc="58228472">
      <w:start w:val="8"/>
      <w:numFmt w:val="bullet"/>
      <w:lvlText w:val="-"/>
      <w:lvlJc w:val="left"/>
      <w:pPr>
        <w:tabs>
          <w:tab w:val="num" w:pos="360"/>
        </w:tabs>
        <w:ind w:left="360" w:hanging="360"/>
      </w:pPr>
      <w:rPr>
        <w:rFonts w:ascii="Times New Roman" w:eastAsia="Times New Roman" w:hAnsi="Times New Roman" w:hint="default"/>
        <w:color w:val="000000" w:themeColor="text1"/>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3" w15:restartNumberingAfterBreak="0">
    <w:nsid w:val="18371B64"/>
    <w:multiLevelType w:val="hybridMultilevel"/>
    <w:tmpl w:val="1D86E39C"/>
    <w:lvl w:ilvl="0" w:tplc="153E461E">
      <w:start w:val="1"/>
      <w:numFmt w:val="decimal"/>
      <w:lvlText w:val="%1."/>
      <w:lvlJc w:val="left"/>
      <w:pPr>
        <w:ind w:left="720" w:hanging="360"/>
      </w:pPr>
      <w:rPr>
        <w:rFonts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625867"/>
    <w:multiLevelType w:val="hybridMultilevel"/>
    <w:tmpl w:val="800E397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6310D6"/>
    <w:multiLevelType w:val="hybridMultilevel"/>
    <w:tmpl w:val="1D26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7355D0"/>
    <w:multiLevelType w:val="hybridMultilevel"/>
    <w:tmpl w:val="85D8419A"/>
    <w:lvl w:ilvl="0" w:tplc="FBACB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67410D"/>
    <w:multiLevelType w:val="hybridMultilevel"/>
    <w:tmpl w:val="7436AAB8"/>
    <w:lvl w:ilvl="0" w:tplc="CBD8B9E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02B4C"/>
    <w:multiLevelType w:val="multilevel"/>
    <w:tmpl w:val="49604102"/>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0E35429"/>
    <w:multiLevelType w:val="hybridMultilevel"/>
    <w:tmpl w:val="F852E64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6D8C683D"/>
    <w:multiLevelType w:val="hybridMultilevel"/>
    <w:tmpl w:val="9452B86A"/>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
  </w:num>
  <w:num w:numId="3">
    <w:abstractNumId w:val="13"/>
  </w:num>
  <w:num w:numId="4">
    <w:abstractNumId w:val="1"/>
  </w:num>
  <w:num w:numId="5">
    <w:abstractNumId w:val="7"/>
  </w:num>
  <w:num w:numId="6">
    <w:abstractNumId w:val="6"/>
  </w:num>
  <w:num w:numId="7">
    <w:abstractNumId w:val="14"/>
  </w:num>
  <w:num w:numId="8">
    <w:abstractNumId w:val="12"/>
  </w:num>
  <w:num w:numId="9">
    <w:abstractNumId w:val="0"/>
  </w:num>
  <w:num w:numId="10">
    <w:abstractNumId w:val="4"/>
  </w:num>
  <w:num w:numId="11">
    <w:abstractNumId w:val="5"/>
  </w:num>
  <w:num w:numId="12">
    <w:abstractNumId w:val="8"/>
  </w:num>
  <w:num w:numId="13">
    <w:abstractNumId w:val="3"/>
  </w:num>
  <w:num w:numId="14">
    <w:abstractNumId w:val="9"/>
  </w:num>
  <w:num w:numId="15">
    <w:abstractNumId w:val="15"/>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1B5"/>
    <w:rsid w:val="00001775"/>
    <w:rsid w:val="00002688"/>
    <w:rsid w:val="00003703"/>
    <w:rsid w:val="0000622F"/>
    <w:rsid w:val="00010A5D"/>
    <w:rsid w:val="000118E6"/>
    <w:rsid w:val="000118E7"/>
    <w:rsid w:val="00012407"/>
    <w:rsid w:val="00013A12"/>
    <w:rsid w:val="00014FB6"/>
    <w:rsid w:val="00015765"/>
    <w:rsid w:val="00016F8F"/>
    <w:rsid w:val="0002074B"/>
    <w:rsid w:val="00023056"/>
    <w:rsid w:val="000240B5"/>
    <w:rsid w:val="00026116"/>
    <w:rsid w:val="00031C79"/>
    <w:rsid w:val="00031F69"/>
    <w:rsid w:val="00032F12"/>
    <w:rsid w:val="00033826"/>
    <w:rsid w:val="00033D9B"/>
    <w:rsid w:val="00034CED"/>
    <w:rsid w:val="00036803"/>
    <w:rsid w:val="00040772"/>
    <w:rsid w:val="000412FA"/>
    <w:rsid w:val="000418A8"/>
    <w:rsid w:val="00042C78"/>
    <w:rsid w:val="000438CC"/>
    <w:rsid w:val="000443CC"/>
    <w:rsid w:val="000448C7"/>
    <w:rsid w:val="00044D63"/>
    <w:rsid w:val="000455D7"/>
    <w:rsid w:val="000456E9"/>
    <w:rsid w:val="00047731"/>
    <w:rsid w:val="000479F6"/>
    <w:rsid w:val="00050C88"/>
    <w:rsid w:val="000533AB"/>
    <w:rsid w:val="00053DC6"/>
    <w:rsid w:val="00054293"/>
    <w:rsid w:val="00057F98"/>
    <w:rsid w:val="00061AA1"/>
    <w:rsid w:val="0006359D"/>
    <w:rsid w:val="00064DD6"/>
    <w:rsid w:val="00066ACA"/>
    <w:rsid w:val="00066B88"/>
    <w:rsid w:val="00067139"/>
    <w:rsid w:val="000679D8"/>
    <w:rsid w:val="00072691"/>
    <w:rsid w:val="00072A39"/>
    <w:rsid w:val="00072CB8"/>
    <w:rsid w:val="000745F8"/>
    <w:rsid w:val="0007519A"/>
    <w:rsid w:val="000773CE"/>
    <w:rsid w:val="00077F37"/>
    <w:rsid w:val="00080735"/>
    <w:rsid w:val="00082DF6"/>
    <w:rsid w:val="00085404"/>
    <w:rsid w:val="0009098A"/>
    <w:rsid w:val="00091401"/>
    <w:rsid w:val="00092637"/>
    <w:rsid w:val="00092FC1"/>
    <w:rsid w:val="000931C9"/>
    <w:rsid w:val="0009345A"/>
    <w:rsid w:val="0009372F"/>
    <w:rsid w:val="0009421E"/>
    <w:rsid w:val="00096DFA"/>
    <w:rsid w:val="0009742D"/>
    <w:rsid w:val="000A040D"/>
    <w:rsid w:val="000A11A8"/>
    <w:rsid w:val="000A278B"/>
    <w:rsid w:val="000A3040"/>
    <w:rsid w:val="000A4329"/>
    <w:rsid w:val="000B1C0E"/>
    <w:rsid w:val="000B2627"/>
    <w:rsid w:val="000B2A76"/>
    <w:rsid w:val="000B342A"/>
    <w:rsid w:val="000B3D87"/>
    <w:rsid w:val="000B52BB"/>
    <w:rsid w:val="000B5642"/>
    <w:rsid w:val="000B5A2F"/>
    <w:rsid w:val="000B664B"/>
    <w:rsid w:val="000B66A5"/>
    <w:rsid w:val="000B689C"/>
    <w:rsid w:val="000C13B6"/>
    <w:rsid w:val="000C189B"/>
    <w:rsid w:val="000C264C"/>
    <w:rsid w:val="000C3D1B"/>
    <w:rsid w:val="000C5604"/>
    <w:rsid w:val="000C667E"/>
    <w:rsid w:val="000D0024"/>
    <w:rsid w:val="000D1B27"/>
    <w:rsid w:val="000D2012"/>
    <w:rsid w:val="000D2041"/>
    <w:rsid w:val="000D20A1"/>
    <w:rsid w:val="000D73E4"/>
    <w:rsid w:val="000E39CF"/>
    <w:rsid w:val="000E54C7"/>
    <w:rsid w:val="000E5A3D"/>
    <w:rsid w:val="000F1389"/>
    <w:rsid w:val="000F1F31"/>
    <w:rsid w:val="000F42BC"/>
    <w:rsid w:val="000F4520"/>
    <w:rsid w:val="000F5302"/>
    <w:rsid w:val="000F5745"/>
    <w:rsid w:val="00100259"/>
    <w:rsid w:val="00100375"/>
    <w:rsid w:val="001004E9"/>
    <w:rsid w:val="00100586"/>
    <w:rsid w:val="00101BC1"/>
    <w:rsid w:val="00101C80"/>
    <w:rsid w:val="00101F49"/>
    <w:rsid w:val="00103073"/>
    <w:rsid w:val="0010369A"/>
    <w:rsid w:val="00105F98"/>
    <w:rsid w:val="00106EFF"/>
    <w:rsid w:val="00113765"/>
    <w:rsid w:val="001139F2"/>
    <w:rsid w:val="00114267"/>
    <w:rsid w:val="001142A6"/>
    <w:rsid w:val="001147B0"/>
    <w:rsid w:val="001148E0"/>
    <w:rsid w:val="00121B49"/>
    <w:rsid w:val="0012268B"/>
    <w:rsid w:val="0012400A"/>
    <w:rsid w:val="00124068"/>
    <w:rsid w:val="00124D8E"/>
    <w:rsid w:val="00124E2C"/>
    <w:rsid w:val="00126384"/>
    <w:rsid w:val="00131C52"/>
    <w:rsid w:val="00133051"/>
    <w:rsid w:val="00133A95"/>
    <w:rsid w:val="00135312"/>
    <w:rsid w:val="001361ED"/>
    <w:rsid w:val="001363DE"/>
    <w:rsid w:val="00140214"/>
    <w:rsid w:val="00140C95"/>
    <w:rsid w:val="00142AA9"/>
    <w:rsid w:val="00142F42"/>
    <w:rsid w:val="00145919"/>
    <w:rsid w:val="00145951"/>
    <w:rsid w:val="001463FB"/>
    <w:rsid w:val="00150C20"/>
    <w:rsid w:val="001543F6"/>
    <w:rsid w:val="00155AD5"/>
    <w:rsid w:val="001561AD"/>
    <w:rsid w:val="0015657B"/>
    <w:rsid w:val="00156F68"/>
    <w:rsid w:val="00161425"/>
    <w:rsid w:val="00162AFC"/>
    <w:rsid w:val="001636E1"/>
    <w:rsid w:val="00165C4C"/>
    <w:rsid w:val="00165D47"/>
    <w:rsid w:val="001661F2"/>
    <w:rsid w:val="00166CB0"/>
    <w:rsid w:val="00167596"/>
    <w:rsid w:val="00167AB9"/>
    <w:rsid w:val="00167C68"/>
    <w:rsid w:val="00167EE0"/>
    <w:rsid w:val="0017070D"/>
    <w:rsid w:val="0017072C"/>
    <w:rsid w:val="00171FC2"/>
    <w:rsid w:val="00173441"/>
    <w:rsid w:val="00175829"/>
    <w:rsid w:val="00175842"/>
    <w:rsid w:val="0017679F"/>
    <w:rsid w:val="0017749D"/>
    <w:rsid w:val="00177FF6"/>
    <w:rsid w:val="0018065C"/>
    <w:rsid w:val="00181D41"/>
    <w:rsid w:val="00182321"/>
    <w:rsid w:val="00184B0A"/>
    <w:rsid w:val="0018561B"/>
    <w:rsid w:val="00186EFB"/>
    <w:rsid w:val="001873A8"/>
    <w:rsid w:val="001902B3"/>
    <w:rsid w:val="00190C36"/>
    <w:rsid w:val="001910ED"/>
    <w:rsid w:val="0019131A"/>
    <w:rsid w:val="00191CA8"/>
    <w:rsid w:val="00194DB2"/>
    <w:rsid w:val="00194F4D"/>
    <w:rsid w:val="001953FF"/>
    <w:rsid w:val="00195B24"/>
    <w:rsid w:val="0019728F"/>
    <w:rsid w:val="001A01A9"/>
    <w:rsid w:val="001A039D"/>
    <w:rsid w:val="001A07EB"/>
    <w:rsid w:val="001A0D1B"/>
    <w:rsid w:val="001A116B"/>
    <w:rsid w:val="001A2BD1"/>
    <w:rsid w:val="001A39FA"/>
    <w:rsid w:val="001A5377"/>
    <w:rsid w:val="001A57CB"/>
    <w:rsid w:val="001A58DC"/>
    <w:rsid w:val="001A7593"/>
    <w:rsid w:val="001B2215"/>
    <w:rsid w:val="001B2593"/>
    <w:rsid w:val="001B4F3A"/>
    <w:rsid w:val="001B4F77"/>
    <w:rsid w:val="001B535C"/>
    <w:rsid w:val="001B68FA"/>
    <w:rsid w:val="001C0065"/>
    <w:rsid w:val="001C00DF"/>
    <w:rsid w:val="001C0A2B"/>
    <w:rsid w:val="001C1129"/>
    <w:rsid w:val="001C2184"/>
    <w:rsid w:val="001C2486"/>
    <w:rsid w:val="001C291C"/>
    <w:rsid w:val="001C32C2"/>
    <w:rsid w:val="001C349C"/>
    <w:rsid w:val="001C4BF5"/>
    <w:rsid w:val="001C4F9B"/>
    <w:rsid w:val="001C55C6"/>
    <w:rsid w:val="001C5B75"/>
    <w:rsid w:val="001C6D3A"/>
    <w:rsid w:val="001C6EC8"/>
    <w:rsid w:val="001C6FBE"/>
    <w:rsid w:val="001D009A"/>
    <w:rsid w:val="001D09B9"/>
    <w:rsid w:val="001D0FD7"/>
    <w:rsid w:val="001D12F1"/>
    <w:rsid w:val="001D18ED"/>
    <w:rsid w:val="001D1C23"/>
    <w:rsid w:val="001D2088"/>
    <w:rsid w:val="001D2411"/>
    <w:rsid w:val="001D2420"/>
    <w:rsid w:val="001D308A"/>
    <w:rsid w:val="001D5B0D"/>
    <w:rsid w:val="001D6C52"/>
    <w:rsid w:val="001E0719"/>
    <w:rsid w:val="001E092A"/>
    <w:rsid w:val="001E23A4"/>
    <w:rsid w:val="001E23E0"/>
    <w:rsid w:val="001E345D"/>
    <w:rsid w:val="001E3D34"/>
    <w:rsid w:val="001E6D21"/>
    <w:rsid w:val="001E6E9C"/>
    <w:rsid w:val="001E6EE8"/>
    <w:rsid w:val="001E7E6D"/>
    <w:rsid w:val="001F02EF"/>
    <w:rsid w:val="001F303E"/>
    <w:rsid w:val="001F4789"/>
    <w:rsid w:val="001F4AC7"/>
    <w:rsid w:val="001F50D2"/>
    <w:rsid w:val="001F54AD"/>
    <w:rsid w:val="001F5586"/>
    <w:rsid w:val="001F5B8D"/>
    <w:rsid w:val="001F726B"/>
    <w:rsid w:val="001F72FA"/>
    <w:rsid w:val="001F7B30"/>
    <w:rsid w:val="00200A07"/>
    <w:rsid w:val="00200D1F"/>
    <w:rsid w:val="00201B09"/>
    <w:rsid w:val="00202903"/>
    <w:rsid w:val="00202984"/>
    <w:rsid w:val="00203828"/>
    <w:rsid w:val="00204A68"/>
    <w:rsid w:val="00204C1F"/>
    <w:rsid w:val="00205730"/>
    <w:rsid w:val="002059D7"/>
    <w:rsid w:val="00205D46"/>
    <w:rsid w:val="00206C37"/>
    <w:rsid w:val="00207385"/>
    <w:rsid w:val="00207AFA"/>
    <w:rsid w:val="00211C16"/>
    <w:rsid w:val="00212BCF"/>
    <w:rsid w:val="00212DFE"/>
    <w:rsid w:val="0021426D"/>
    <w:rsid w:val="002143AD"/>
    <w:rsid w:val="00214DBE"/>
    <w:rsid w:val="00215A3C"/>
    <w:rsid w:val="002166B0"/>
    <w:rsid w:val="00221A2C"/>
    <w:rsid w:val="00221E7A"/>
    <w:rsid w:val="00223001"/>
    <w:rsid w:val="002242C5"/>
    <w:rsid w:val="00226008"/>
    <w:rsid w:val="002261C1"/>
    <w:rsid w:val="00227A07"/>
    <w:rsid w:val="00230A54"/>
    <w:rsid w:val="0023296D"/>
    <w:rsid w:val="00232F40"/>
    <w:rsid w:val="00233F85"/>
    <w:rsid w:val="002376A8"/>
    <w:rsid w:val="00237B34"/>
    <w:rsid w:val="00240690"/>
    <w:rsid w:val="00240F65"/>
    <w:rsid w:val="002421AE"/>
    <w:rsid w:val="00243739"/>
    <w:rsid w:val="00245970"/>
    <w:rsid w:val="00250741"/>
    <w:rsid w:val="00250EC4"/>
    <w:rsid w:val="0025374E"/>
    <w:rsid w:val="0025535C"/>
    <w:rsid w:val="00256AF5"/>
    <w:rsid w:val="002571F8"/>
    <w:rsid w:val="0026039C"/>
    <w:rsid w:val="00261D70"/>
    <w:rsid w:val="00262389"/>
    <w:rsid w:val="00262D19"/>
    <w:rsid w:val="00263E38"/>
    <w:rsid w:val="002656AB"/>
    <w:rsid w:val="00265EE1"/>
    <w:rsid w:val="00271946"/>
    <w:rsid w:val="00271DDE"/>
    <w:rsid w:val="00273579"/>
    <w:rsid w:val="00274AE2"/>
    <w:rsid w:val="00274CDD"/>
    <w:rsid w:val="002773BE"/>
    <w:rsid w:val="00277E3C"/>
    <w:rsid w:val="00282233"/>
    <w:rsid w:val="002828A4"/>
    <w:rsid w:val="00283305"/>
    <w:rsid w:val="002834FB"/>
    <w:rsid w:val="002839C8"/>
    <w:rsid w:val="00283E67"/>
    <w:rsid w:val="00284A57"/>
    <w:rsid w:val="00284FA5"/>
    <w:rsid w:val="00285AD4"/>
    <w:rsid w:val="00285CA4"/>
    <w:rsid w:val="00285F0E"/>
    <w:rsid w:val="00290280"/>
    <w:rsid w:val="002911CC"/>
    <w:rsid w:val="002919BA"/>
    <w:rsid w:val="002924C5"/>
    <w:rsid w:val="002939A2"/>
    <w:rsid w:val="002955A4"/>
    <w:rsid w:val="0029593A"/>
    <w:rsid w:val="002961B3"/>
    <w:rsid w:val="00297941"/>
    <w:rsid w:val="002A083B"/>
    <w:rsid w:val="002A1830"/>
    <w:rsid w:val="002A2383"/>
    <w:rsid w:val="002A28E0"/>
    <w:rsid w:val="002A2BF6"/>
    <w:rsid w:val="002A6CDF"/>
    <w:rsid w:val="002A7F32"/>
    <w:rsid w:val="002B008A"/>
    <w:rsid w:val="002B0A1E"/>
    <w:rsid w:val="002B35DD"/>
    <w:rsid w:val="002B3C03"/>
    <w:rsid w:val="002B48E4"/>
    <w:rsid w:val="002B62BC"/>
    <w:rsid w:val="002B6CA7"/>
    <w:rsid w:val="002B738E"/>
    <w:rsid w:val="002B7C1D"/>
    <w:rsid w:val="002C260D"/>
    <w:rsid w:val="002C3CA9"/>
    <w:rsid w:val="002C4F02"/>
    <w:rsid w:val="002C5727"/>
    <w:rsid w:val="002C5E54"/>
    <w:rsid w:val="002C6380"/>
    <w:rsid w:val="002C7A08"/>
    <w:rsid w:val="002D2008"/>
    <w:rsid w:val="002D3AB6"/>
    <w:rsid w:val="002D3EFB"/>
    <w:rsid w:val="002D41F7"/>
    <w:rsid w:val="002D49F8"/>
    <w:rsid w:val="002D4C7D"/>
    <w:rsid w:val="002D5AD0"/>
    <w:rsid w:val="002D640A"/>
    <w:rsid w:val="002D6B5E"/>
    <w:rsid w:val="002E046E"/>
    <w:rsid w:val="002E11A6"/>
    <w:rsid w:val="002E2B8E"/>
    <w:rsid w:val="002E395A"/>
    <w:rsid w:val="002E46CE"/>
    <w:rsid w:val="002E4E0C"/>
    <w:rsid w:val="002E7A26"/>
    <w:rsid w:val="002F05F8"/>
    <w:rsid w:val="002F2962"/>
    <w:rsid w:val="002F2E66"/>
    <w:rsid w:val="002F318C"/>
    <w:rsid w:val="002F4938"/>
    <w:rsid w:val="002F5FB1"/>
    <w:rsid w:val="002F7824"/>
    <w:rsid w:val="002F7B54"/>
    <w:rsid w:val="003034E0"/>
    <w:rsid w:val="00303B5E"/>
    <w:rsid w:val="003059BE"/>
    <w:rsid w:val="00305CF3"/>
    <w:rsid w:val="00307021"/>
    <w:rsid w:val="00310174"/>
    <w:rsid w:val="00312B4D"/>
    <w:rsid w:val="00314774"/>
    <w:rsid w:val="003154E9"/>
    <w:rsid w:val="00317076"/>
    <w:rsid w:val="003172C0"/>
    <w:rsid w:val="00317959"/>
    <w:rsid w:val="00320D61"/>
    <w:rsid w:val="00321B8F"/>
    <w:rsid w:val="003222B5"/>
    <w:rsid w:val="00322E6D"/>
    <w:rsid w:val="00324ED6"/>
    <w:rsid w:val="00325844"/>
    <w:rsid w:val="00325A5F"/>
    <w:rsid w:val="00325AF5"/>
    <w:rsid w:val="003301BF"/>
    <w:rsid w:val="00332678"/>
    <w:rsid w:val="00332AA8"/>
    <w:rsid w:val="00332CA8"/>
    <w:rsid w:val="00333049"/>
    <w:rsid w:val="00333EFE"/>
    <w:rsid w:val="0033513C"/>
    <w:rsid w:val="00335638"/>
    <w:rsid w:val="003361A7"/>
    <w:rsid w:val="00336C83"/>
    <w:rsid w:val="0034002B"/>
    <w:rsid w:val="00340C42"/>
    <w:rsid w:val="00341566"/>
    <w:rsid w:val="00341C98"/>
    <w:rsid w:val="003421BC"/>
    <w:rsid w:val="00343C0B"/>
    <w:rsid w:val="00343EC6"/>
    <w:rsid w:val="00344B8D"/>
    <w:rsid w:val="00345B4F"/>
    <w:rsid w:val="00346688"/>
    <w:rsid w:val="00347209"/>
    <w:rsid w:val="00347AAB"/>
    <w:rsid w:val="00351347"/>
    <w:rsid w:val="00353BD0"/>
    <w:rsid w:val="00354587"/>
    <w:rsid w:val="003558C3"/>
    <w:rsid w:val="003567D8"/>
    <w:rsid w:val="00356DBD"/>
    <w:rsid w:val="00361BD5"/>
    <w:rsid w:val="00364935"/>
    <w:rsid w:val="00365A1C"/>
    <w:rsid w:val="00366841"/>
    <w:rsid w:val="00366E1F"/>
    <w:rsid w:val="00366E63"/>
    <w:rsid w:val="003677CB"/>
    <w:rsid w:val="003703A9"/>
    <w:rsid w:val="00371679"/>
    <w:rsid w:val="003742BE"/>
    <w:rsid w:val="00375CB1"/>
    <w:rsid w:val="00375F04"/>
    <w:rsid w:val="00376EF4"/>
    <w:rsid w:val="003805AA"/>
    <w:rsid w:val="00384DC7"/>
    <w:rsid w:val="003859C3"/>
    <w:rsid w:val="00385CE3"/>
    <w:rsid w:val="00385D54"/>
    <w:rsid w:val="00386B2F"/>
    <w:rsid w:val="00386FEC"/>
    <w:rsid w:val="003906C3"/>
    <w:rsid w:val="00394153"/>
    <w:rsid w:val="00394A41"/>
    <w:rsid w:val="00394E77"/>
    <w:rsid w:val="00395C5C"/>
    <w:rsid w:val="003A03DA"/>
    <w:rsid w:val="003A2289"/>
    <w:rsid w:val="003A2872"/>
    <w:rsid w:val="003A305E"/>
    <w:rsid w:val="003A3679"/>
    <w:rsid w:val="003A42F3"/>
    <w:rsid w:val="003A6638"/>
    <w:rsid w:val="003A6B87"/>
    <w:rsid w:val="003A7117"/>
    <w:rsid w:val="003B01D1"/>
    <w:rsid w:val="003B32E9"/>
    <w:rsid w:val="003B3868"/>
    <w:rsid w:val="003B42A9"/>
    <w:rsid w:val="003B4605"/>
    <w:rsid w:val="003B587A"/>
    <w:rsid w:val="003B58EC"/>
    <w:rsid w:val="003B6A81"/>
    <w:rsid w:val="003B6BD8"/>
    <w:rsid w:val="003B753B"/>
    <w:rsid w:val="003B776C"/>
    <w:rsid w:val="003C0D38"/>
    <w:rsid w:val="003C1837"/>
    <w:rsid w:val="003C1B92"/>
    <w:rsid w:val="003C3A6D"/>
    <w:rsid w:val="003C6DA2"/>
    <w:rsid w:val="003C79D1"/>
    <w:rsid w:val="003D03EC"/>
    <w:rsid w:val="003D0C3F"/>
    <w:rsid w:val="003D1656"/>
    <w:rsid w:val="003D2659"/>
    <w:rsid w:val="003D2732"/>
    <w:rsid w:val="003D2BF4"/>
    <w:rsid w:val="003D2EDC"/>
    <w:rsid w:val="003D5AE2"/>
    <w:rsid w:val="003D7F88"/>
    <w:rsid w:val="003E09EB"/>
    <w:rsid w:val="003E61F4"/>
    <w:rsid w:val="003F2435"/>
    <w:rsid w:val="003F3B2E"/>
    <w:rsid w:val="003F499B"/>
    <w:rsid w:val="003F603F"/>
    <w:rsid w:val="003F7E42"/>
    <w:rsid w:val="004012A1"/>
    <w:rsid w:val="004014B2"/>
    <w:rsid w:val="004045E3"/>
    <w:rsid w:val="004076BF"/>
    <w:rsid w:val="004078B6"/>
    <w:rsid w:val="00410A58"/>
    <w:rsid w:val="004128DE"/>
    <w:rsid w:val="00414303"/>
    <w:rsid w:val="00416A33"/>
    <w:rsid w:val="004172CA"/>
    <w:rsid w:val="004203EA"/>
    <w:rsid w:val="00420738"/>
    <w:rsid w:val="004207A6"/>
    <w:rsid w:val="00420992"/>
    <w:rsid w:val="00420F60"/>
    <w:rsid w:val="0042372C"/>
    <w:rsid w:val="004303EB"/>
    <w:rsid w:val="004322EE"/>
    <w:rsid w:val="004323BD"/>
    <w:rsid w:val="00432971"/>
    <w:rsid w:val="00433787"/>
    <w:rsid w:val="00437C8E"/>
    <w:rsid w:val="00440762"/>
    <w:rsid w:val="00441BCC"/>
    <w:rsid w:val="00443678"/>
    <w:rsid w:val="00445E27"/>
    <w:rsid w:val="00450450"/>
    <w:rsid w:val="00451C0F"/>
    <w:rsid w:val="00451C9B"/>
    <w:rsid w:val="00452087"/>
    <w:rsid w:val="00454526"/>
    <w:rsid w:val="00454713"/>
    <w:rsid w:val="00455D59"/>
    <w:rsid w:val="00457657"/>
    <w:rsid w:val="00457892"/>
    <w:rsid w:val="004638F7"/>
    <w:rsid w:val="004661F6"/>
    <w:rsid w:val="00467A2A"/>
    <w:rsid w:val="00470DC2"/>
    <w:rsid w:val="00471E25"/>
    <w:rsid w:val="004731E4"/>
    <w:rsid w:val="004733EE"/>
    <w:rsid w:val="0047395E"/>
    <w:rsid w:val="00473D48"/>
    <w:rsid w:val="00474914"/>
    <w:rsid w:val="00475AEA"/>
    <w:rsid w:val="00476C8E"/>
    <w:rsid w:val="004819E9"/>
    <w:rsid w:val="004841AD"/>
    <w:rsid w:val="004846DE"/>
    <w:rsid w:val="00484991"/>
    <w:rsid w:val="00484B42"/>
    <w:rsid w:val="004851EF"/>
    <w:rsid w:val="00487F29"/>
    <w:rsid w:val="00491632"/>
    <w:rsid w:val="00491F05"/>
    <w:rsid w:val="0049242D"/>
    <w:rsid w:val="004925FD"/>
    <w:rsid w:val="0049677A"/>
    <w:rsid w:val="004971F3"/>
    <w:rsid w:val="00497730"/>
    <w:rsid w:val="004A057C"/>
    <w:rsid w:val="004A0B05"/>
    <w:rsid w:val="004A14C1"/>
    <w:rsid w:val="004A2F0D"/>
    <w:rsid w:val="004A3717"/>
    <w:rsid w:val="004A382C"/>
    <w:rsid w:val="004A5A6E"/>
    <w:rsid w:val="004B4D59"/>
    <w:rsid w:val="004C20E3"/>
    <w:rsid w:val="004C3BD6"/>
    <w:rsid w:val="004C4BAA"/>
    <w:rsid w:val="004C5790"/>
    <w:rsid w:val="004C5F64"/>
    <w:rsid w:val="004C7244"/>
    <w:rsid w:val="004D1D39"/>
    <w:rsid w:val="004D2061"/>
    <w:rsid w:val="004D4E7E"/>
    <w:rsid w:val="004D5F1D"/>
    <w:rsid w:val="004D642F"/>
    <w:rsid w:val="004D789C"/>
    <w:rsid w:val="004D7B94"/>
    <w:rsid w:val="004D7FE0"/>
    <w:rsid w:val="004E3E9A"/>
    <w:rsid w:val="004E48FC"/>
    <w:rsid w:val="004E5A11"/>
    <w:rsid w:val="004E6B4D"/>
    <w:rsid w:val="004E7771"/>
    <w:rsid w:val="004E7DCB"/>
    <w:rsid w:val="004F2484"/>
    <w:rsid w:val="004F3CAB"/>
    <w:rsid w:val="005002C9"/>
    <w:rsid w:val="00501A62"/>
    <w:rsid w:val="00501D80"/>
    <w:rsid w:val="00502A6E"/>
    <w:rsid w:val="00502B42"/>
    <w:rsid w:val="00502FAA"/>
    <w:rsid w:val="00506832"/>
    <w:rsid w:val="00510614"/>
    <w:rsid w:val="00510BC2"/>
    <w:rsid w:val="00511050"/>
    <w:rsid w:val="00511A55"/>
    <w:rsid w:val="00511E32"/>
    <w:rsid w:val="00511F4A"/>
    <w:rsid w:val="005168EC"/>
    <w:rsid w:val="00516D53"/>
    <w:rsid w:val="00516F6A"/>
    <w:rsid w:val="00517F63"/>
    <w:rsid w:val="00523F37"/>
    <w:rsid w:val="00524DAE"/>
    <w:rsid w:val="00525F4E"/>
    <w:rsid w:val="00527D3A"/>
    <w:rsid w:val="00532D2B"/>
    <w:rsid w:val="005351C3"/>
    <w:rsid w:val="00541A08"/>
    <w:rsid w:val="00544CB8"/>
    <w:rsid w:val="00546311"/>
    <w:rsid w:val="0054769A"/>
    <w:rsid w:val="00547CB6"/>
    <w:rsid w:val="0055206A"/>
    <w:rsid w:val="00552FE9"/>
    <w:rsid w:val="0055448E"/>
    <w:rsid w:val="005548A1"/>
    <w:rsid w:val="00555D48"/>
    <w:rsid w:val="00556806"/>
    <w:rsid w:val="00557F48"/>
    <w:rsid w:val="00561508"/>
    <w:rsid w:val="00561AB1"/>
    <w:rsid w:val="0056369E"/>
    <w:rsid w:val="00564A4E"/>
    <w:rsid w:val="00566A31"/>
    <w:rsid w:val="0056796D"/>
    <w:rsid w:val="00567FCB"/>
    <w:rsid w:val="00571099"/>
    <w:rsid w:val="00571241"/>
    <w:rsid w:val="00573943"/>
    <w:rsid w:val="00574085"/>
    <w:rsid w:val="00574AEB"/>
    <w:rsid w:val="0057760A"/>
    <w:rsid w:val="00577B17"/>
    <w:rsid w:val="0058055A"/>
    <w:rsid w:val="005810BC"/>
    <w:rsid w:val="00584CC7"/>
    <w:rsid w:val="0058531A"/>
    <w:rsid w:val="00587212"/>
    <w:rsid w:val="005877B4"/>
    <w:rsid w:val="005901B5"/>
    <w:rsid w:val="005903CB"/>
    <w:rsid w:val="005917A4"/>
    <w:rsid w:val="00591F84"/>
    <w:rsid w:val="00592359"/>
    <w:rsid w:val="0059420E"/>
    <w:rsid w:val="005943EB"/>
    <w:rsid w:val="00595D5E"/>
    <w:rsid w:val="00595E2D"/>
    <w:rsid w:val="005A1D1C"/>
    <w:rsid w:val="005A4EFB"/>
    <w:rsid w:val="005B11A0"/>
    <w:rsid w:val="005B13E6"/>
    <w:rsid w:val="005B1BE3"/>
    <w:rsid w:val="005B3619"/>
    <w:rsid w:val="005B42F9"/>
    <w:rsid w:val="005B4B48"/>
    <w:rsid w:val="005C1E2E"/>
    <w:rsid w:val="005C2053"/>
    <w:rsid w:val="005C232C"/>
    <w:rsid w:val="005C26BC"/>
    <w:rsid w:val="005C27C9"/>
    <w:rsid w:val="005C284E"/>
    <w:rsid w:val="005C3881"/>
    <w:rsid w:val="005C4DAF"/>
    <w:rsid w:val="005C6405"/>
    <w:rsid w:val="005C64E7"/>
    <w:rsid w:val="005C6946"/>
    <w:rsid w:val="005C7B58"/>
    <w:rsid w:val="005D125B"/>
    <w:rsid w:val="005D21CB"/>
    <w:rsid w:val="005D282F"/>
    <w:rsid w:val="005D28BC"/>
    <w:rsid w:val="005D3336"/>
    <w:rsid w:val="005D3CDA"/>
    <w:rsid w:val="005D4B82"/>
    <w:rsid w:val="005D5FA8"/>
    <w:rsid w:val="005E1595"/>
    <w:rsid w:val="005E1824"/>
    <w:rsid w:val="005E1C8F"/>
    <w:rsid w:val="005E3032"/>
    <w:rsid w:val="005E3A70"/>
    <w:rsid w:val="005E425F"/>
    <w:rsid w:val="005E4BA5"/>
    <w:rsid w:val="005E57FC"/>
    <w:rsid w:val="005E61C7"/>
    <w:rsid w:val="005E7041"/>
    <w:rsid w:val="005E7E27"/>
    <w:rsid w:val="005F0822"/>
    <w:rsid w:val="005F11BC"/>
    <w:rsid w:val="005F18C1"/>
    <w:rsid w:val="005F358B"/>
    <w:rsid w:val="005F4A07"/>
    <w:rsid w:val="005F5797"/>
    <w:rsid w:val="005F66A0"/>
    <w:rsid w:val="005F66A2"/>
    <w:rsid w:val="005F7C7E"/>
    <w:rsid w:val="00601FC0"/>
    <w:rsid w:val="006030FA"/>
    <w:rsid w:val="00603F37"/>
    <w:rsid w:val="00605403"/>
    <w:rsid w:val="00606AB3"/>
    <w:rsid w:val="006070EA"/>
    <w:rsid w:val="00607FD0"/>
    <w:rsid w:val="006103F1"/>
    <w:rsid w:val="006115D4"/>
    <w:rsid w:val="00611DC3"/>
    <w:rsid w:val="00613B4F"/>
    <w:rsid w:val="00614413"/>
    <w:rsid w:val="00614C1C"/>
    <w:rsid w:val="00617D64"/>
    <w:rsid w:val="006203DB"/>
    <w:rsid w:val="00620986"/>
    <w:rsid w:val="006210BD"/>
    <w:rsid w:val="006249A1"/>
    <w:rsid w:val="00624A6A"/>
    <w:rsid w:val="006253D3"/>
    <w:rsid w:val="00625C0D"/>
    <w:rsid w:val="00625DE4"/>
    <w:rsid w:val="00626BCD"/>
    <w:rsid w:val="00630B28"/>
    <w:rsid w:val="0063157F"/>
    <w:rsid w:val="006318DA"/>
    <w:rsid w:val="006379B8"/>
    <w:rsid w:val="0064070E"/>
    <w:rsid w:val="00640A95"/>
    <w:rsid w:val="00643554"/>
    <w:rsid w:val="006439DE"/>
    <w:rsid w:val="0064479B"/>
    <w:rsid w:val="00644D95"/>
    <w:rsid w:val="0064590B"/>
    <w:rsid w:val="006500C6"/>
    <w:rsid w:val="006505A4"/>
    <w:rsid w:val="00652B5B"/>
    <w:rsid w:val="00654C70"/>
    <w:rsid w:val="00655300"/>
    <w:rsid w:val="00655509"/>
    <w:rsid w:val="00656008"/>
    <w:rsid w:val="00656EBC"/>
    <w:rsid w:val="006627BA"/>
    <w:rsid w:val="00662D03"/>
    <w:rsid w:val="00664E37"/>
    <w:rsid w:val="006706AE"/>
    <w:rsid w:val="006727FA"/>
    <w:rsid w:val="006733D1"/>
    <w:rsid w:val="006738BE"/>
    <w:rsid w:val="00674512"/>
    <w:rsid w:val="00674CE3"/>
    <w:rsid w:val="00675921"/>
    <w:rsid w:val="006765FE"/>
    <w:rsid w:val="0067678C"/>
    <w:rsid w:val="006769C1"/>
    <w:rsid w:val="00680E49"/>
    <w:rsid w:val="00683E1F"/>
    <w:rsid w:val="00684469"/>
    <w:rsid w:val="00684A61"/>
    <w:rsid w:val="00685459"/>
    <w:rsid w:val="00687AC1"/>
    <w:rsid w:val="00691226"/>
    <w:rsid w:val="0069226F"/>
    <w:rsid w:val="00693CEF"/>
    <w:rsid w:val="00695419"/>
    <w:rsid w:val="00696AF1"/>
    <w:rsid w:val="006A412F"/>
    <w:rsid w:val="006A5C7B"/>
    <w:rsid w:val="006A64B5"/>
    <w:rsid w:val="006A7405"/>
    <w:rsid w:val="006B2DE3"/>
    <w:rsid w:val="006B35C6"/>
    <w:rsid w:val="006B36C5"/>
    <w:rsid w:val="006B38AC"/>
    <w:rsid w:val="006B3C22"/>
    <w:rsid w:val="006B4A71"/>
    <w:rsid w:val="006B4D77"/>
    <w:rsid w:val="006B576C"/>
    <w:rsid w:val="006B5BB9"/>
    <w:rsid w:val="006B61A2"/>
    <w:rsid w:val="006B62D7"/>
    <w:rsid w:val="006C35D8"/>
    <w:rsid w:val="006C55DE"/>
    <w:rsid w:val="006C5DE0"/>
    <w:rsid w:val="006C790C"/>
    <w:rsid w:val="006D03FB"/>
    <w:rsid w:val="006D68C5"/>
    <w:rsid w:val="006E0883"/>
    <w:rsid w:val="006E19D1"/>
    <w:rsid w:val="006E47D2"/>
    <w:rsid w:val="006E4F0E"/>
    <w:rsid w:val="006E5F5E"/>
    <w:rsid w:val="006E7B80"/>
    <w:rsid w:val="006F217F"/>
    <w:rsid w:val="006F3802"/>
    <w:rsid w:val="006F3F9D"/>
    <w:rsid w:val="006F473A"/>
    <w:rsid w:val="006F4C13"/>
    <w:rsid w:val="006F4EB6"/>
    <w:rsid w:val="006F5182"/>
    <w:rsid w:val="006F5861"/>
    <w:rsid w:val="006F6939"/>
    <w:rsid w:val="006F6FC8"/>
    <w:rsid w:val="006F7EC8"/>
    <w:rsid w:val="00700A38"/>
    <w:rsid w:val="0070346B"/>
    <w:rsid w:val="00703F6F"/>
    <w:rsid w:val="00704694"/>
    <w:rsid w:val="00706865"/>
    <w:rsid w:val="007069C9"/>
    <w:rsid w:val="00707489"/>
    <w:rsid w:val="00711F5B"/>
    <w:rsid w:val="00712BE6"/>
    <w:rsid w:val="00713BA3"/>
    <w:rsid w:val="007144D5"/>
    <w:rsid w:val="00715290"/>
    <w:rsid w:val="00716D8F"/>
    <w:rsid w:val="00720048"/>
    <w:rsid w:val="0072248E"/>
    <w:rsid w:val="00726EA7"/>
    <w:rsid w:val="00731FB8"/>
    <w:rsid w:val="0073555C"/>
    <w:rsid w:val="00735ABF"/>
    <w:rsid w:val="00737729"/>
    <w:rsid w:val="0074137D"/>
    <w:rsid w:val="00741B58"/>
    <w:rsid w:val="00742715"/>
    <w:rsid w:val="0074293E"/>
    <w:rsid w:val="007451BD"/>
    <w:rsid w:val="007525DA"/>
    <w:rsid w:val="00752E8D"/>
    <w:rsid w:val="00754639"/>
    <w:rsid w:val="007557C2"/>
    <w:rsid w:val="00757D5C"/>
    <w:rsid w:val="007607DC"/>
    <w:rsid w:val="0076084B"/>
    <w:rsid w:val="00763A85"/>
    <w:rsid w:val="00763E0C"/>
    <w:rsid w:val="007657E2"/>
    <w:rsid w:val="00767566"/>
    <w:rsid w:val="007728E2"/>
    <w:rsid w:val="007740C9"/>
    <w:rsid w:val="00774305"/>
    <w:rsid w:val="00774393"/>
    <w:rsid w:val="00775887"/>
    <w:rsid w:val="00775D50"/>
    <w:rsid w:val="007768F0"/>
    <w:rsid w:val="007772F3"/>
    <w:rsid w:val="00777888"/>
    <w:rsid w:val="007821C3"/>
    <w:rsid w:val="0078240A"/>
    <w:rsid w:val="0078253E"/>
    <w:rsid w:val="00782863"/>
    <w:rsid w:val="007917BC"/>
    <w:rsid w:val="007918A0"/>
    <w:rsid w:val="007921BB"/>
    <w:rsid w:val="00793C55"/>
    <w:rsid w:val="00794961"/>
    <w:rsid w:val="00794DF5"/>
    <w:rsid w:val="00795A7D"/>
    <w:rsid w:val="007A0AE2"/>
    <w:rsid w:val="007A0BF0"/>
    <w:rsid w:val="007A1056"/>
    <w:rsid w:val="007A11DA"/>
    <w:rsid w:val="007A1DE7"/>
    <w:rsid w:val="007A28DD"/>
    <w:rsid w:val="007A2EC2"/>
    <w:rsid w:val="007A469D"/>
    <w:rsid w:val="007A647B"/>
    <w:rsid w:val="007B0A52"/>
    <w:rsid w:val="007B122F"/>
    <w:rsid w:val="007B183A"/>
    <w:rsid w:val="007B42F8"/>
    <w:rsid w:val="007B46F1"/>
    <w:rsid w:val="007B4F2C"/>
    <w:rsid w:val="007B6BA4"/>
    <w:rsid w:val="007B6EC8"/>
    <w:rsid w:val="007B7467"/>
    <w:rsid w:val="007B7563"/>
    <w:rsid w:val="007B7F16"/>
    <w:rsid w:val="007B7FB5"/>
    <w:rsid w:val="007C0B0D"/>
    <w:rsid w:val="007C1B4F"/>
    <w:rsid w:val="007C6327"/>
    <w:rsid w:val="007C6787"/>
    <w:rsid w:val="007C68C1"/>
    <w:rsid w:val="007D0E39"/>
    <w:rsid w:val="007D1F0A"/>
    <w:rsid w:val="007D3514"/>
    <w:rsid w:val="007D3CBB"/>
    <w:rsid w:val="007E0E51"/>
    <w:rsid w:val="007E303D"/>
    <w:rsid w:val="007E46AE"/>
    <w:rsid w:val="007E46F1"/>
    <w:rsid w:val="007E47FE"/>
    <w:rsid w:val="007E5F8E"/>
    <w:rsid w:val="007E669B"/>
    <w:rsid w:val="007F47C4"/>
    <w:rsid w:val="007F54C2"/>
    <w:rsid w:val="007F64FC"/>
    <w:rsid w:val="007F6C7E"/>
    <w:rsid w:val="007F6F31"/>
    <w:rsid w:val="007F7A67"/>
    <w:rsid w:val="008019F8"/>
    <w:rsid w:val="00801FFA"/>
    <w:rsid w:val="00803BE6"/>
    <w:rsid w:val="00803CE9"/>
    <w:rsid w:val="00804817"/>
    <w:rsid w:val="008048DB"/>
    <w:rsid w:val="008052E9"/>
    <w:rsid w:val="00805C6B"/>
    <w:rsid w:val="00805E51"/>
    <w:rsid w:val="00806B48"/>
    <w:rsid w:val="0081012E"/>
    <w:rsid w:val="008120C8"/>
    <w:rsid w:val="008123B8"/>
    <w:rsid w:val="008124AD"/>
    <w:rsid w:val="008137CC"/>
    <w:rsid w:val="00815514"/>
    <w:rsid w:val="00816BE6"/>
    <w:rsid w:val="008177A0"/>
    <w:rsid w:val="00820DA0"/>
    <w:rsid w:val="00820FF5"/>
    <w:rsid w:val="00823084"/>
    <w:rsid w:val="008230B5"/>
    <w:rsid w:val="00823652"/>
    <w:rsid w:val="0082426E"/>
    <w:rsid w:val="00824B6B"/>
    <w:rsid w:val="00825CBC"/>
    <w:rsid w:val="00830E06"/>
    <w:rsid w:val="008327BF"/>
    <w:rsid w:val="00833006"/>
    <w:rsid w:val="0083324D"/>
    <w:rsid w:val="008334FE"/>
    <w:rsid w:val="00834705"/>
    <w:rsid w:val="008358A0"/>
    <w:rsid w:val="00840F50"/>
    <w:rsid w:val="00841BDD"/>
    <w:rsid w:val="0084327E"/>
    <w:rsid w:val="008432F0"/>
    <w:rsid w:val="008435A7"/>
    <w:rsid w:val="00845089"/>
    <w:rsid w:val="00846479"/>
    <w:rsid w:val="00846983"/>
    <w:rsid w:val="00846D42"/>
    <w:rsid w:val="00846DFF"/>
    <w:rsid w:val="00847410"/>
    <w:rsid w:val="008508DB"/>
    <w:rsid w:val="00850FA2"/>
    <w:rsid w:val="00852D21"/>
    <w:rsid w:val="00852F62"/>
    <w:rsid w:val="00853EFB"/>
    <w:rsid w:val="0085434F"/>
    <w:rsid w:val="00854DBD"/>
    <w:rsid w:val="00855B3E"/>
    <w:rsid w:val="00857C1C"/>
    <w:rsid w:val="00860B68"/>
    <w:rsid w:val="00862A99"/>
    <w:rsid w:val="00863CFB"/>
    <w:rsid w:val="00864214"/>
    <w:rsid w:val="00865BD6"/>
    <w:rsid w:val="00865BE1"/>
    <w:rsid w:val="008664F8"/>
    <w:rsid w:val="00871A67"/>
    <w:rsid w:val="008721D0"/>
    <w:rsid w:val="008728A5"/>
    <w:rsid w:val="008740C6"/>
    <w:rsid w:val="008743BC"/>
    <w:rsid w:val="00875195"/>
    <w:rsid w:val="00876DA7"/>
    <w:rsid w:val="00876EFA"/>
    <w:rsid w:val="0087738B"/>
    <w:rsid w:val="00877C17"/>
    <w:rsid w:val="008816E0"/>
    <w:rsid w:val="00881C77"/>
    <w:rsid w:val="00881F10"/>
    <w:rsid w:val="00882FEB"/>
    <w:rsid w:val="00883E2D"/>
    <w:rsid w:val="00886809"/>
    <w:rsid w:val="00887BF7"/>
    <w:rsid w:val="00887E20"/>
    <w:rsid w:val="0089026C"/>
    <w:rsid w:val="008912A2"/>
    <w:rsid w:val="0089387D"/>
    <w:rsid w:val="0089399D"/>
    <w:rsid w:val="00893AAC"/>
    <w:rsid w:val="00894025"/>
    <w:rsid w:val="008946D4"/>
    <w:rsid w:val="00894AFC"/>
    <w:rsid w:val="00895650"/>
    <w:rsid w:val="008974FC"/>
    <w:rsid w:val="008976C7"/>
    <w:rsid w:val="008A0FA8"/>
    <w:rsid w:val="008A14EC"/>
    <w:rsid w:val="008A3301"/>
    <w:rsid w:val="008A6A51"/>
    <w:rsid w:val="008B1494"/>
    <w:rsid w:val="008B3FE2"/>
    <w:rsid w:val="008B4057"/>
    <w:rsid w:val="008B4D0F"/>
    <w:rsid w:val="008B72B8"/>
    <w:rsid w:val="008B767E"/>
    <w:rsid w:val="008C2D50"/>
    <w:rsid w:val="008C3687"/>
    <w:rsid w:val="008C4386"/>
    <w:rsid w:val="008C5177"/>
    <w:rsid w:val="008C562F"/>
    <w:rsid w:val="008C5F81"/>
    <w:rsid w:val="008C6B15"/>
    <w:rsid w:val="008C7765"/>
    <w:rsid w:val="008C7F2C"/>
    <w:rsid w:val="008C7F57"/>
    <w:rsid w:val="008D7FB2"/>
    <w:rsid w:val="008E33AE"/>
    <w:rsid w:val="008E34A3"/>
    <w:rsid w:val="008F0487"/>
    <w:rsid w:val="008F30AA"/>
    <w:rsid w:val="008F390E"/>
    <w:rsid w:val="008F5F49"/>
    <w:rsid w:val="008F5FC4"/>
    <w:rsid w:val="0090064C"/>
    <w:rsid w:val="00901CC4"/>
    <w:rsid w:val="00901D30"/>
    <w:rsid w:val="00903C0C"/>
    <w:rsid w:val="00903F2D"/>
    <w:rsid w:val="009052C8"/>
    <w:rsid w:val="00906016"/>
    <w:rsid w:val="00906A9E"/>
    <w:rsid w:val="00910462"/>
    <w:rsid w:val="009109B7"/>
    <w:rsid w:val="00910C45"/>
    <w:rsid w:val="00911B35"/>
    <w:rsid w:val="0091230A"/>
    <w:rsid w:val="00912480"/>
    <w:rsid w:val="0091249E"/>
    <w:rsid w:val="00913C3A"/>
    <w:rsid w:val="009150D9"/>
    <w:rsid w:val="009214C2"/>
    <w:rsid w:val="00921863"/>
    <w:rsid w:val="00924573"/>
    <w:rsid w:val="00925020"/>
    <w:rsid w:val="00925E11"/>
    <w:rsid w:val="00930720"/>
    <w:rsid w:val="0093237A"/>
    <w:rsid w:val="009324F2"/>
    <w:rsid w:val="0093268F"/>
    <w:rsid w:val="00932C59"/>
    <w:rsid w:val="00933232"/>
    <w:rsid w:val="0093444D"/>
    <w:rsid w:val="00934479"/>
    <w:rsid w:val="009410B7"/>
    <w:rsid w:val="00941294"/>
    <w:rsid w:val="009427C8"/>
    <w:rsid w:val="009432FB"/>
    <w:rsid w:val="009435D8"/>
    <w:rsid w:val="00944E38"/>
    <w:rsid w:val="009452F3"/>
    <w:rsid w:val="00947182"/>
    <w:rsid w:val="00950733"/>
    <w:rsid w:val="009518F1"/>
    <w:rsid w:val="00956075"/>
    <w:rsid w:val="00957A0B"/>
    <w:rsid w:val="009615D8"/>
    <w:rsid w:val="0096181B"/>
    <w:rsid w:val="00961FAC"/>
    <w:rsid w:val="00961FB1"/>
    <w:rsid w:val="00962564"/>
    <w:rsid w:val="00962F88"/>
    <w:rsid w:val="009648F3"/>
    <w:rsid w:val="00965475"/>
    <w:rsid w:val="009661BF"/>
    <w:rsid w:val="00980C4B"/>
    <w:rsid w:val="0098309D"/>
    <w:rsid w:val="009839BC"/>
    <w:rsid w:val="00984FA4"/>
    <w:rsid w:val="009850F9"/>
    <w:rsid w:val="00985973"/>
    <w:rsid w:val="00986A1D"/>
    <w:rsid w:val="00987E43"/>
    <w:rsid w:val="009918B9"/>
    <w:rsid w:val="0099280A"/>
    <w:rsid w:val="00992D09"/>
    <w:rsid w:val="00993F8C"/>
    <w:rsid w:val="00994714"/>
    <w:rsid w:val="00994A35"/>
    <w:rsid w:val="00995105"/>
    <w:rsid w:val="00997FE6"/>
    <w:rsid w:val="009A0610"/>
    <w:rsid w:val="009A2544"/>
    <w:rsid w:val="009A2B3B"/>
    <w:rsid w:val="009A328E"/>
    <w:rsid w:val="009A4B46"/>
    <w:rsid w:val="009A585B"/>
    <w:rsid w:val="009A674C"/>
    <w:rsid w:val="009A708A"/>
    <w:rsid w:val="009A7ED0"/>
    <w:rsid w:val="009B2307"/>
    <w:rsid w:val="009B3B17"/>
    <w:rsid w:val="009C163A"/>
    <w:rsid w:val="009C1A70"/>
    <w:rsid w:val="009C6C64"/>
    <w:rsid w:val="009C73CD"/>
    <w:rsid w:val="009C7D87"/>
    <w:rsid w:val="009D0EE6"/>
    <w:rsid w:val="009D13D8"/>
    <w:rsid w:val="009D2AAF"/>
    <w:rsid w:val="009D40FF"/>
    <w:rsid w:val="009D502E"/>
    <w:rsid w:val="009D51C9"/>
    <w:rsid w:val="009D55B2"/>
    <w:rsid w:val="009D5A64"/>
    <w:rsid w:val="009D5D4C"/>
    <w:rsid w:val="009D5EAB"/>
    <w:rsid w:val="009D6DC6"/>
    <w:rsid w:val="009D7882"/>
    <w:rsid w:val="009E2912"/>
    <w:rsid w:val="009E3012"/>
    <w:rsid w:val="009E48C2"/>
    <w:rsid w:val="009E53B6"/>
    <w:rsid w:val="009F2D68"/>
    <w:rsid w:val="009F5D2E"/>
    <w:rsid w:val="009F7C08"/>
    <w:rsid w:val="00A02B87"/>
    <w:rsid w:val="00A05FC4"/>
    <w:rsid w:val="00A05FE1"/>
    <w:rsid w:val="00A13B11"/>
    <w:rsid w:val="00A14447"/>
    <w:rsid w:val="00A1553B"/>
    <w:rsid w:val="00A15A5F"/>
    <w:rsid w:val="00A17463"/>
    <w:rsid w:val="00A17A0E"/>
    <w:rsid w:val="00A212C3"/>
    <w:rsid w:val="00A2136B"/>
    <w:rsid w:val="00A21672"/>
    <w:rsid w:val="00A21F8B"/>
    <w:rsid w:val="00A22441"/>
    <w:rsid w:val="00A23BA7"/>
    <w:rsid w:val="00A25511"/>
    <w:rsid w:val="00A2584E"/>
    <w:rsid w:val="00A25FAA"/>
    <w:rsid w:val="00A2634B"/>
    <w:rsid w:val="00A279B6"/>
    <w:rsid w:val="00A27EFE"/>
    <w:rsid w:val="00A32010"/>
    <w:rsid w:val="00A32629"/>
    <w:rsid w:val="00A32D2C"/>
    <w:rsid w:val="00A3514E"/>
    <w:rsid w:val="00A36324"/>
    <w:rsid w:val="00A3652C"/>
    <w:rsid w:val="00A36A10"/>
    <w:rsid w:val="00A37F92"/>
    <w:rsid w:val="00A40DD3"/>
    <w:rsid w:val="00A432A8"/>
    <w:rsid w:val="00A43FD4"/>
    <w:rsid w:val="00A44AE3"/>
    <w:rsid w:val="00A45D80"/>
    <w:rsid w:val="00A47A36"/>
    <w:rsid w:val="00A5009D"/>
    <w:rsid w:val="00A505B5"/>
    <w:rsid w:val="00A528FD"/>
    <w:rsid w:val="00A53318"/>
    <w:rsid w:val="00A54841"/>
    <w:rsid w:val="00A5611D"/>
    <w:rsid w:val="00A573AE"/>
    <w:rsid w:val="00A57F58"/>
    <w:rsid w:val="00A609EE"/>
    <w:rsid w:val="00A63672"/>
    <w:rsid w:val="00A6400B"/>
    <w:rsid w:val="00A64364"/>
    <w:rsid w:val="00A64802"/>
    <w:rsid w:val="00A70B99"/>
    <w:rsid w:val="00A71772"/>
    <w:rsid w:val="00A7374C"/>
    <w:rsid w:val="00A7641C"/>
    <w:rsid w:val="00A76C1E"/>
    <w:rsid w:val="00A77DD1"/>
    <w:rsid w:val="00A80953"/>
    <w:rsid w:val="00A82439"/>
    <w:rsid w:val="00A8279E"/>
    <w:rsid w:val="00A82DE6"/>
    <w:rsid w:val="00A82F24"/>
    <w:rsid w:val="00A837A6"/>
    <w:rsid w:val="00A85143"/>
    <w:rsid w:val="00A86D61"/>
    <w:rsid w:val="00A90E60"/>
    <w:rsid w:val="00A9394B"/>
    <w:rsid w:val="00A93F5C"/>
    <w:rsid w:val="00A95D2A"/>
    <w:rsid w:val="00AA1BCD"/>
    <w:rsid w:val="00AA38D5"/>
    <w:rsid w:val="00AA5CA4"/>
    <w:rsid w:val="00AA7426"/>
    <w:rsid w:val="00AA756E"/>
    <w:rsid w:val="00AA7A36"/>
    <w:rsid w:val="00AB0204"/>
    <w:rsid w:val="00AB06E6"/>
    <w:rsid w:val="00AB0969"/>
    <w:rsid w:val="00AB1446"/>
    <w:rsid w:val="00AB15EE"/>
    <w:rsid w:val="00AB2380"/>
    <w:rsid w:val="00AB25A8"/>
    <w:rsid w:val="00AB2D9A"/>
    <w:rsid w:val="00AB41BE"/>
    <w:rsid w:val="00AC0550"/>
    <w:rsid w:val="00AC0BC3"/>
    <w:rsid w:val="00AC0C65"/>
    <w:rsid w:val="00AC14F8"/>
    <w:rsid w:val="00AC2C8C"/>
    <w:rsid w:val="00AC3D17"/>
    <w:rsid w:val="00AC3D1D"/>
    <w:rsid w:val="00AC43FA"/>
    <w:rsid w:val="00AC44E3"/>
    <w:rsid w:val="00AC645F"/>
    <w:rsid w:val="00AC65CA"/>
    <w:rsid w:val="00AC6D6D"/>
    <w:rsid w:val="00AD06FB"/>
    <w:rsid w:val="00AD0D57"/>
    <w:rsid w:val="00AD242D"/>
    <w:rsid w:val="00AD31F1"/>
    <w:rsid w:val="00AD3E8A"/>
    <w:rsid w:val="00AD4FBE"/>
    <w:rsid w:val="00AD6C7C"/>
    <w:rsid w:val="00AE0471"/>
    <w:rsid w:val="00AE0E45"/>
    <w:rsid w:val="00AE4154"/>
    <w:rsid w:val="00AE55C7"/>
    <w:rsid w:val="00AE5884"/>
    <w:rsid w:val="00AE692F"/>
    <w:rsid w:val="00AE696A"/>
    <w:rsid w:val="00AF04C4"/>
    <w:rsid w:val="00AF0A94"/>
    <w:rsid w:val="00AF5477"/>
    <w:rsid w:val="00AF6FA7"/>
    <w:rsid w:val="00AF7DC1"/>
    <w:rsid w:val="00B01794"/>
    <w:rsid w:val="00B01D79"/>
    <w:rsid w:val="00B02416"/>
    <w:rsid w:val="00B05710"/>
    <w:rsid w:val="00B073F3"/>
    <w:rsid w:val="00B07D1A"/>
    <w:rsid w:val="00B108F8"/>
    <w:rsid w:val="00B115EE"/>
    <w:rsid w:val="00B11ECC"/>
    <w:rsid w:val="00B12F2E"/>
    <w:rsid w:val="00B143C6"/>
    <w:rsid w:val="00B16A93"/>
    <w:rsid w:val="00B170EF"/>
    <w:rsid w:val="00B20C9A"/>
    <w:rsid w:val="00B21C9F"/>
    <w:rsid w:val="00B21E28"/>
    <w:rsid w:val="00B239C3"/>
    <w:rsid w:val="00B24BF0"/>
    <w:rsid w:val="00B31092"/>
    <w:rsid w:val="00B3343C"/>
    <w:rsid w:val="00B353CF"/>
    <w:rsid w:val="00B377E9"/>
    <w:rsid w:val="00B403AA"/>
    <w:rsid w:val="00B41184"/>
    <w:rsid w:val="00B415D7"/>
    <w:rsid w:val="00B42318"/>
    <w:rsid w:val="00B42D70"/>
    <w:rsid w:val="00B42E90"/>
    <w:rsid w:val="00B43BC6"/>
    <w:rsid w:val="00B450BB"/>
    <w:rsid w:val="00B464DD"/>
    <w:rsid w:val="00B469A5"/>
    <w:rsid w:val="00B4784F"/>
    <w:rsid w:val="00B50533"/>
    <w:rsid w:val="00B509E3"/>
    <w:rsid w:val="00B51EAA"/>
    <w:rsid w:val="00B5213B"/>
    <w:rsid w:val="00B524FE"/>
    <w:rsid w:val="00B531A2"/>
    <w:rsid w:val="00B53EF2"/>
    <w:rsid w:val="00B54C84"/>
    <w:rsid w:val="00B555FE"/>
    <w:rsid w:val="00B55B97"/>
    <w:rsid w:val="00B564EB"/>
    <w:rsid w:val="00B57077"/>
    <w:rsid w:val="00B622B3"/>
    <w:rsid w:val="00B62772"/>
    <w:rsid w:val="00B6327B"/>
    <w:rsid w:val="00B6372B"/>
    <w:rsid w:val="00B64079"/>
    <w:rsid w:val="00B642AF"/>
    <w:rsid w:val="00B6440B"/>
    <w:rsid w:val="00B65A11"/>
    <w:rsid w:val="00B661CD"/>
    <w:rsid w:val="00B66CCA"/>
    <w:rsid w:val="00B709AF"/>
    <w:rsid w:val="00B72DD5"/>
    <w:rsid w:val="00B72F77"/>
    <w:rsid w:val="00B73E79"/>
    <w:rsid w:val="00B74CFC"/>
    <w:rsid w:val="00B755A0"/>
    <w:rsid w:val="00B76A7D"/>
    <w:rsid w:val="00B802E7"/>
    <w:rsid w:val="00B8053B"/>
    <w:rsid w:val="00B81426"/>
    <w:rsid w:val="00B8157E"/>
    <w:rsid w:val="00B81EF7"/>
    <w:rsid w:val="00B82469"/>
    <w:rsid w:val="00B83440"/>
    <w:rsid w:val="00B84067"/>
    <w:rsid w:val="00B8411C"/>
    <w:rsid w:val="00B84681"/>
    <w:rsid w:val="00B849A9"/>
    <w:rsid w:val="00B916B7"/>
    <w:rsid w:val="00B93488"/>
    <w:rsid w:val="00B93885"/>
    <w:rsid w:val="00B9400C"/>
    <w:rsid w:val="00B9445D"/>
    <w:rsid w:val="00B957F5"/>
    <w:rsid w:val="00B976D0"/>
    <w:rsid w:val="00BA0B0C"/>
    <w:rsid w:val="00BA2904"/>
    <w:rsid w:val="00BA396E"/>
    <w:rsid w:val="00BA3D61"/>
    <w:rsid w:val="00BA52E5"/>
    <w:rsid w:val="00BA56F3"/>
    <w:rsid w:val="00BA76F4"/>
    <w:rsid w:val="00BB024B"/>
    <w:rsid w:val="00BB1F30"/>
    <w:rsid w:val="00BB58E4"/>
    <w:rsid w:val="00BC0081"/>
    <w:rsid w:val="00BC2635"/>
    <w:rsid w:val="00BC727F"/>
    <w:rsid w:val="00BD0301"/>
    <w:rsid w:val="00BD030B"/>
    <w:rsid w:val="00BD0A02"/>
    <w:rsid w:val="00BD1B72"/>
    <w:rsid w:val="00BD26FB"/>
    <w:rsid w:val="00BD2857"/>
    <w:rsid w:val="00BD3E87"/>
    <w:rsid w:val="00BD463A"/>
    <w:rsid w:val="00BD56B2"/>
    <w:rsid w:val="00BE373C"/>
    <w:rsid w:val="00BE3B9F"/>
    <w:rsid w:val="00BE4D1B"/>
    <w:rsid w:val="00BE68CE"/>
    <w:rsid w:val="00BE748D"/>
    <w:rsid w:val="00BF0DEB"/>
    <w:rsid w:val="00BF1A77"/>
    <w:rsid w:val="00BF4C9D"/>
    <w:rsid w:val="00BF4D13"/>
    <w:rsid w:val="00BF5309"/>
    <w:rsid w:val="00BF6842"/>
    <w:rsid w:val="00BF7786"/>
    <w:rsid w:val="00C00396"/>
    <w:rsid w:val="00C04D1C"/>
    <w:rsid w:val="00C04DD1"/>
    <w:rsid w:val="00C051D5"/>
    <w:rsid w:val="00C0737B"/>
    <w:rsid w:val="00C12C12"/>
    <w:rsid w:val="00C143E6"/>
    <w:rsid w:val="00C147CB"/>
    <w:rsid w:val="00C161BB"/>
    <w:rsid w:val="00C17197"/>
    <w:rsid w:val="00C20115"/>
    <w:rsid w:val="00C202A0"/>
    <w:rsid w:val="00C21BF1"/>
    <w:rsid w:val="00C23172"/>
    <w:rsid w:val="00C23C0B"/>
    <w:rsid w:val="00C2630A"/>
    <w:rsid w:val="00C2669B"/>
    <w:rsid w:val="00C26E95"/>
    <w:rsid w:val="00C275E0"/>
    <w:rsid w:val="00C30F74"/>
    <w:rsid w:val="00C32E05"/>
    <w:rsid w:val="00C33BF1"/>
    <w:rsid w:val="00C352C4"/>
    <w:rsid w:val="00C356E4"/>
    <w:rsid w:val="00C35A47"/>
    <w:rsid w:val="00C36779"/>
    <w:rsid w:val="00C4027F"/>
    <w:rsid w:val="00C41089"/>
    <w:rsid w:val="00C41FBD"/>
    <w:rsid w:val="00C436B8"/>
    <w:rsid w:val="00C45A2E"/>
    <w:rsid w:val="00C4612E"/>
    <w:rsid w:val="00C472C8"/>
    <w:rsid w:val="00C47652"/>
    <w:rsid w:val="00C506BC"/>
    <w:rsid w:val="00C5094F"/>
    <w:rsid w:val="00C50A00"/>
    <w:rsid w:val="00C50D7F"/>
    <w:rsid w:val="00C52971"/>
    <w:rsid w:val="00C52C7F"/>
    <w:rsid w:val="00C535DB"/>
    <w:rsid w:val="00C53DA3"/>
    <w:rsid w:val="00C54844"/>
    <w:rsid w:val="00C54B6E"/>
    <w:rsid w:val="00C55053"/>
    <w:rsid w:val="00C56EAD"/>
    <w:rsid w:val="00C606EB"/>
    <w:rsid w:val="00C63661"/>
    <w:rsid w:val="00C67BD2"/>
    <w:rsid w:val="00C713CB"/>
    <w:rsid w:val="00C7277D"/>
    <w:rsid w:val="00C736C3"/>
    <w:rsid w:val="00C743C0"/>
    <w:rsid w:val="00C7490A"/>
    <w:rsid w:val="00C75458"/>
    <w:rsid w:val="00C76FAC"/>
    <w:rsid w:val="00C771F3"/>
    <w:rsid w:val="00C80991"/>
    <w:rsid w:val="00C82946"/>
    <w:rsid w:val="00C85AC8"/>
    <w:rsid w:val="00C870CF"/>
    <w:rsid w:val="00C87279"/>
    <w:rsid w:val="00C87427"/>
    <w:rsid w:val="00C9116D"/>
    <w:rsid w:val="00C91B85"/>
    <w:rsid w:val="00C93113"/>
    <w:rsid w:val="00C932F8"/>
    <w:rsid w:val="00C961DA"/>
    <w:rsid w:val="00C971E1"/>
    <w:rsid w:val="00CA00EC"/>
    <w:rsid w:val="00CA5785"/>
    <w:rsid w:val="00CA60D7"/>
    <w:rsid w:val="00CA71DD"/>
    <w:rsid w:val="00CA739F"/>
    <w:rsid w:val="00CB0A50"/>
    <w:rsid w:val="00CB10CE"/>
    <w:rsid w:val="00CB132E"/>
    <w:rsid w:val="00CB6071"/>
    <w:rsid w:val="00CC03C1"/>
    <w:rsid w:val="00CC1A00"/>
    <w:rsid w:val="00CC1BE4"/>
    <w:rsid w:val="00CC2AF9"/>
    <w:rsid w:val="00CC2D56"/>
    <w:rsid w:val="00CC2FBC"/>
    <w:rsid w:val="00CC49B8"/>
    <w:rsid w:val="00CC5F9B"/>
    <w:rsid w:val="00CD19FA"/>
    <w:rsid w:val="00CD262D"/>
    <w:rsid w:val="00CD3092"/>
    <w:rsid w:val="00CD51B8"/>
    <w:rsid w:val="00CD6922"/>
    <w:rsid w:val="00CD6CA3"/>
    <w:rsid w:val="00CD7711"/>
    <w:rsid w:val="00CD7A31"/>
    <w:rsid w:val="00CD7BBD"/>
    <w:rsid w:val="00CE040C"/>
    <w:rsid w:val="00CE1255"/>
    <w:rsid w:val="00CE1C7C"/>
    <w:rsid w:val="00CE2989"/>
    <w:rsid w:val="00CE48F0"/>
    <w:rsid w:val="00CE5642"/>
    <w:rsid w:val="00CE5AF9"/>
    <w:rsid w:val="00CE6C69"/>
    <w:rsid w:val="00CE7FFE"/>
    <w:rsid w:val="00CF2106"/>
    <w:rsid w:val="00CF3263"/>
    <w:rsid w:val="00CF35B1"/>
    <w:rsid w:val="00CF447F"/>
    <w:rsid w:val="00CF58BE"/>
    <w:rsid w:val="00CF715F"/>
    <w:rsid w:val="00CF73D9"/>
    <w:rsid w:val="00D0090F"/>
    <w:rsid w:val="00D0165C"/>
    <w:rsid w:val="00D01EB1"/>
    <w:rsid w:val="00D020CB"/>
    <w:rsid w:val="00D042CC"/>
    <w:rsid w:val="00D04492"/>
    <w:rsid w:val="00D044F2"/>
    <w:rsid w:val="00D04709"/>
    <w:rsid w:val="00D068BA"/>
    <w:rsid w:val="00D10145"/>
    <w:rsid w:val="00D10A80"/>
    <w:rsid w:val="00D126FB"/>
    <w:rsid w:val="00D12FC5"/>
    <w:rsid w:val="00D169A8"/>
    <w:rsid w:val="00D20381"/>
    <w:rsid w:val="00D20CE7"/>
    <w:rsid w:val="00D22B12"/>
    <w:rsid w:val="00D26E25"/>
    <w:rsid w:val="00D27D96"/>
    <w:rsid w:val="00D31B29"/>
    <w:rsid w:val="00D32C10"/>
    <w:rsid w:val="00D32D48"/>
    <w:rsid w:val="00D34438"/>
    <w:rsid w:val="00D346CC"/>
    <w:rsid w:val="00D34786"/>
    <w:rsid w:val="00D355C8"/>
    <w:rsid w:val="00D40258"/>
    <w:rsid w:val="00D43297"/>
    <w:rsid w:val="00D435EC"/>
    <w:rsid w:val="00D43930"/>
    <w:rsid w:val="00D4568B"/>
    <w:rsid w:val="00D456FB"/>
    <w:rsid w:val="00D45F5D"/>
    <w:rsid w:val="00D47C6D"/>
    <w:rsid w:val="00D47C85"/>
    <w:rsid w:val="00D52740"/>
    <w:rsid w:val="00D52983"/>
    <w:rsid w:val="00D53578"/>
    <w:rsid w:val="00D53D79"/>
    <w:rsid w:val="00D54DAB"/>
    <w:rsid w:val="00D5686F"/>
    <w:rsid w:val="00D60323"/>
    <w:rsid w:val="00D60755"/>
    <w:rsid w:val="00D613CE"/>
    <w:rsid w:val="00D621EB"/>
    <w:rsid w:val="00D62BFF"/>
    <w:rsid w:val="00D64172"/>
    <w:rsid w:val="00D65B76"/>
    <w:rsid w:val="00D71B83"/>
    <w:rsid w:val="00D71E6E"/>
    <w:rsid w:val="00D71FE3"/>
    <w:rsid w:val="00D734B1"/>
    <w:rsid w:val="00D73EF2"/>
    <w:rsid w:val="00D74842"/>
    <w:rsid w:val="00D815F0"/>
    <w:rsid w:val="00D822A1"/>
    <w:rsid w:val="00D825AF"/>
    <w:rsid w:val="00D85AFF"/>
    <w:rsid w:val="00D861DF"/>
    <w:rsid w:val="00D86C2A"/>
    <w:rsid w:val="00D873B3"/>
    <w:rsid w:val="00D9007E"/>
    <w:rsid w:val="00D9009D"/>
    <w:rsid w:val="00D90989"/>
    <w:rsid w:val="00D90B00"/>
    <w:rsid w:val="00D928DE"/>
    <w:rsid w:val="00D92A2F"/>
    <w:rsid w:val="00D94998"/>
    <w:rsid w:val="00D95C02"/>
    <w:rsid w:val="00D9685E"/>
    <w:rsid w:val="00DA0126"/>
    <w:rsid w:val="00DA0C78"/>
    <w:rsid w:val="00DA49CA"/>
    <w:rsid w:val="00DA4A67"/>
    <w:rsid w:val="00DA4BDB"/>
    <w:rsid w:val="00DA5C32"/>
    <w:rsid w:val="00DA7176"/>
    <w:rsid w:val="00DA7F8E"/>
    <w:rsid w:val="00DB1372"/>
    <w:rsid w:val="00DB53ED"/>
    <w:rsid w:val="00DB59BE"/>
    <w:rsid w:val="00DB668B"/>
    <w:rsid w:val="00DB7177"/>
    <w:rsid w:val="00DC1A03"/>
    <w:rsid w:val="00DC3026"/>
    <w:rsid w:val="00DC3AE1"/>
    <w:rsid w:val="00DC43B1"/>
    <w:rsid w:val="00DC5127"/>
    <w:rsid w:val="00DC5EC9"/>
    <w:rsid w:val="00DC6356"/>
    <w:rsid w:val="00DD040C"/>
    <w:rsid w:val="00DD3873"/>
    <w:rsid w:val="00DD6629"/>
    <w:rsid w:val="00DD6DB8"/>
    <w:rsid w:val="00DE0A1C"/>
    <w:rsid w:val="00DE5D88"/>
    <w:rsid w:val="00DE6335"/>
    <w:rsid w:val="00DE6455"/>
    <w:rsid w:val="00DF0786"/>
    <w:rsid w:val="00DF093C"/>
    <w:rsid w:val="00DF0984"/>
    <w:rsid w:val="00DF3616"/>
    <w:rsid w:val="00DF42D6"/>
    <w:rsid w:val="00DF59BC"/>
    <w:rsid w:val="00DF65E5"/>
    <w:rsid w:val="00DF6E65"/>
    <w:rsid w:val="00DF772E"/>
    <w:rsid w:val="00E01296"/>
    <w:rsid w:val="00E01CD2"/>
    <w:rsid w:val="00E01EA4"/>
    <w:rsid w:val="00E033ED"/>
    <w:rsid w:val="00E03AEF"/>
    <w:rsid w:val="00E05671"/>
    <w:rsid w:val="00E06D58"/>
    <w:rsid w:val="00E06F47"/>
    <w:rsid w:val="00E12821"/>
    <w:rsid w:val="00E12935"/>
    <w:rsid w:val="00E13478"/>
    <w:rsid w:val="00E1387D"/>
    <w:rsid w:val="00E147F9"/>
    <w:rsid w:val="00E14BBE"/>
    <w:rsid w:val="00E1745B"/>
    <w:rsid w:val="00E22E7F"/>
    <w:rsid w:val="00E23671"/>
    <w:rsid w:val="00E2376C"/>
    <w:rsid w:val="00E23C8B"/>
    <w:rsid w:val="00E24F5D"/>
    <w:rsid w:val="00E2536B"/>
    <w:rsid w:val="00E25DEE"/>
    <w:rsid w:val="00E309DD"/>
    <w:rsid w:val="00E314BA"/>
    <w:rsid w:val="00E33879"/>
    <w:rsid w:val="00E34088"/>
    <w:rsid w:val="00E346FC"/>
    <w:rsid w:val="00E34B0F"/>
    <w:rsid w:val="00E3526F"/>
    <w:rsid w:val="00E3793F"/>
    <w:rsid w:val="00E40F9F"/>
    <w:rsid w:val="00E4117D"/>
    <w:rsid w:val="00E44247"/>
    <w:rsid w:val="00E44B64"/>
    <w:rsid w:val="00E46542"/>
    <w:rsid w:val="00E4676C"/>
    <w:rsid w:val="00E50A93"/>
    <w:rsid w:val="00E511B0"/>
    <w:rsid w:val="00E519EA"/>
    <w:rsid w:val="00E523F3"/>
    <w:rsid w:val="00E52767"/>
    <w:rsid w:val="00E53619"/>
    <w:rsid w:val="00E55A7B"/>
    <w:rsid w:val="00E56600"/>
    <w:rsid w:val="00E57FC6"/>
    <w:rsid w:val="00E60525"/>
    <w:rsid w:val="00E629C4"/>
    <w:rsid w:val="00E62AEF"/>
    <w:rsid w:val="00E64DD7"/>
    <w:rsid w:val="00E65126"/>
    <w:rsid w:val="00E6544E"/>
    <w:rsid w:val="00E702D1"/>
    <w:rsid w:val="00E706F9"/>
    <w:rsid w:val="00E74409"/>
    <w:rsid w:val="00E74EE9"/>
    <w:rsid w:val="00E75136"/>
    <w:rsid w:val="00E757A1"/>
    <w:rsid w:val="00E76B95"/>
    <w:rsid w:val="00E76DCC"/>
    <w:rsid w:val="00E777E6"/>
    <w:rsid w:val="00E77B2C"/>
    <w:rsid w:val="00E8014D"/>
    <w:rsid w:val="00E80C55"/>
    <w:rsid w:val="00E82311"/>
    <w:rsid w:val="00E833A2"/>
    <w:rsid w:val="00E841AA"/>
    <w:rsid w:val="00E8511F"/>
    <w:rsid w:val="00E861F3"/>
    <w:rsid w:val="00E864CA"/>
    <w:rsid w:val="00E91955"/>
    <w:rsid w:val="00E91B89"/>
    <w:rsid w:val="00E93E28"/>
    <w:rsid w:val="00E95492"/>
    <w:rsid w:val="00E955A0"/>
    <w:rsid w:val="00E97D62"/>
    <w:rsid w:val="00EA0088"/>
    <w:rsid w:val="00EA26AD"/>
    <w:rsid w:val="00EA4306"/>
    <w:rsid w:val="00EA50B5"/>
    <w:rsid w:val="00EA5FD7"/>
    <w:rsid w:val="00EA6865"/>
    <w:rsid w:val="00EA7B58"/>
    <w:rsid w:val="00EA7EBE"/>
    <w:rsid w:val="00EB01DE"/>
    <w:rsid w:val="00EB23A9"/>
    <w:rsid w:val="00EB292E"/>
    <w:rsid w:val="00EB5677"/>
    <w:rsid w:val="00EB57BD"/>
    <w:rsid w:val="00EC1E09"/>
    <w:rsid w:val="00EC5704"/>
    <w:rsid w:val="00EC6081"/>
    <w:rsid w:val="00EC7973"/>
    <w:rsid w:val="00ED0D4B"/>
    <w:rsid w:val="00ED2367"/>
    <w:rsid w:val="00ED5856"/>
    <w:rsid w:val="00EE0E82"/>
    <w:rsid w:val="00EE1983"/>
    <w:rsid w:val="00EE2D84"/>
    <w:rsid w:val="00EE34A9"/>
    <w:rsid w:val="00EE40BF"/>
    <w:rsid w:val="00EE4585"/>
    <w:rsid w:val="00EE5896"/>
    <w:rsid w:val="00EE6D1F"/>
    <w:rsid w:val="00EE6F51"/>
    <w:rsid w:val="00EE70AE"/>
    <w:rsid w:val="00EE787C"/>
    <w:rsid w:val="00EF2524"/>
    <w:rsid w:val="00EF312F"/>
    <w:rsid w:val="00EF41B5"/>
    <w:rsid w:val="00EF4C46"/>
    <w:rsid w:val="00EF4E83"/>
    <w:rsid w:val="00EF559C"/>
    <w:rsid w:val="00F03C76"/>
    <w:rsid w:val="00F03E89"/>
    <w:rsid w:val="00F05F3F"/>
    <w:rsid w:val="00F06173"/>
    <w:rsid w:val="00F108DE"/>
    <w:rsid w:val="00F10DE8"/>
    <w:rsid w:val="00F115BD"/>
    <w:rsid w:val="00F17C4C"/>
    <w:rsid w:val="00F225B1"/>
    <w:rsid w:val="00F22C86"/>
    <w:rsid w:val="00F24748"/>
    <w:rsid w:val="00F262B9"/>
    <w:rsid w:val="00F26421"/>
    <w:rsid w:val="00F31C50"/>
    <w:rsid w:val="00F3473A"/>
    <w:rsid w:val="00F41A87"/>
    <w:rsid w:val="00F420F2"/>
    <w:rsid w:val="00F42290"/>
    <w:rsid w:val="00F42E42"/>
    <w:rsid w:val="00F45352"/>
    <w:rsid w:val="00F469F6"/>
    <w:rsid w:val="00F5054B"/>
    <w:rsid w:val="00F52070"/>
    <w:rsid w:val="00F53097"/>
    <w:rsid w:val="00F570A8"/>
    <w:rsid w:val="00F5736D"/>
    <w:rsid w:val="00F6169B"/>
    <w:rsid w:val="00F63DAD"/>
    <w:rsid w:val="00F64519"/>
    <w:rsid w:val="00F64560"/>
    <w:rsid w:val="00F65513"/>
    <w:rsid w:val="00F65CEC"/>
    <w:rsid w:val="00F66163"/>
    <w:rsid w:val="00F7089C"/>
    <w:rsid w:val="00F70901"/>
    <w:rsid w:val="00F71153"/>
    <w:rsid w:val="00F718F0"/>
    <w:rsid w:val="00F730EA"/>
    <w:rsid w:val="00F773FB"/>
    <w:rsid w:val="00F7798D"/>
    <w:rsid w:val="00F77DFF"/>
    <w:rsid w:val="00F82F09"/>
    <w:rsid w:val="00F83843"/>
    <w:rsid w:val="00F8450B"/>
    <w:rsid w:val="00F85E34"/>
    <w:rsid w:val="00F86FD4"/>
    <w:rsid w:val="00F91DC6"/>
    <w:rsid w:val="00F91E31"/>
    <w:rsid w:val="00F933CD"/>
    <w:rsid w:val="00F93F69"/>
    <w:rsid w:val="00F95442"/>
    <w:rsid w:val="00F958F0"/>
    <w:rsid w:val="00F96EE7"/>
    <w:rsid w:val="00FA2911"/>
    <w:rsid w:val="00FA2A37"/>
    <w:rsid w:val="00FA34F4"/>
    <w:rsid w:val="00FA4304"/>
    <w:rsid w:val="00FA5BC0"/>
    <w:rsid w:val="00FA5C4B"/>
    <w:rsid w:val="00FA5E52"/>
    <w:rsid w:val="00FA70D9"/>
    <w:rsid w:val="00FA7FBF"/>
    <w:rsid w:val="00FB2667"/>
    <w:rsid w:val="00FB72EF"/>
    <w:rsid w:val="00FC39D5"/>
    <w:rsid w:val="00FC4777"/>
    <w:rsid w:val="00FC52D7"/>
    <w:rsid w:val="00FC57AB"/>
    <w:rsid w:val="00FC6870"/>
    <w:rsid w:val="00FC720D"/>
    <w:rsid w:val="00FD027F"/>
    <w:rsid w:val="00FD0B87"/>
    <w:rsid w:val="00FD3E13"/>
    <w:rsid w:val="00FD5062"/>
    <w:rsid w:val="00FD55CB"/>
    <w:rsid w:val="00FD56BC"/>
    <w:rsid w:val="00FD63EF"/>
    <w:rsid w:val="00FE024F"/>
    <w:rsid w:val="00FE05A7"/>
    <w:rsid w:val="00FE4AF0"/>
    <w:rsid w:val="00FF02B6"/>
    <w:rsid w:val="00FF1D36"/>
    <w:rsid w:val="00FF4179"/>
    <w:rsid w:val="00FF4413"/>
    <w:rsid w:val="00FF53D0"/>
    <w:rsid w:val="00FF69BB"/>
    <w:rsid w:val="00FF7BFC"/>
    <w:rsid w:val="00FF7D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FA4A70"/>
  <w15:docId w15:val="{225F69EB-D1B2-4214-BB44-8CC72D0BA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C04D1C"/>
    <w:rPr>
      <w:sz w:val="20"/>
      <w:szCs w:val="20"/>
    </w:rPr>
  </w:style>
  <w:style w:type="character" w:customStyle="1" w:styleId="EndnoteTextChar">
    <w:name w:val="Endnote Text Char"/>
    <w:basedOn w:val="DefaultParagraphFont"/>
    <w:link w:val="EndnoteText"/>
    <w:uiPriority w:val="99"/>
    <w:semiHidden/>
    <w:rsid w:val="00C04D1C"/>
    <w:rPr>
      <w:rFonts w:ascii="Times New Roman" w:hAnsi="Times New Roman"/>
      <w:sz w:val="20"/>
      <w:szCs w:val="20"/>
      <w:lang w:eastAsia="ar-SA"/>
    </w:rPr>
  </w:style>
  <w:style w:type="character" w:styleId="EndnoteReference">
    <w:name w:val="endnote reference"/>
    <w:basedOn w:val="DefaultParagraphFont"/>
    <w:uiPriority w:val="99"/>
    <w:semiHidden/>
    <w:unhideWhenUsed/>
    <w:rsid w:val="00C04D1C"/>
    <w:rPr>
      <w:vertAlign w:val="superscript"/>
    </w:rPr>
  </w:style>
  <w:style w:type="character" w:styleId="CommentReference">
    <w:name w:val="annotation reference"/>
    <w:basedOn w:val="DefaultParagraphFont"/>
    <w:uiPriority w:val="99"/>
    <w:semiHidden/>
    <w:unhideWhenUsed/>
    <w:rsid w:val="002A2383"/>
    <w:rPr>
      <w:sz w:val="16"/>
      <w:szCs w:val="16"/>
    </w:rPr>
  </w:style>
  <w:style w:type="paragraph" w:styleId="CommentText">
    <w:name w:val="annotation text"/>
    <w:basedOn w:val="Normal"/>
    <w:link w:val="CommentTextChar"/>
    <w:uiPriority w:val="99"/>
    <w:semiHidden/>
    <w:unhideWhenUsed/>
    <w:rsid w:val="002A2383"/>
    <w:rPr>
      <w:sz w:val="20"/>
      <w:szCs w:val="20"/>
    </w:rPr>
  </w:style>
  <w:style w:type="character" w:customStyle="1" w:styleId="CommentTextChar">
    <w:name w:val="Comment Text Char"/>
    <w:basedOn w:val="DefaultParagraphFont"/>
    <w:link w:val="CommentText"/>
    <w:uiPriority w:val="99"/>
    <w:semiHidden/>
    <w:rsid w:val="002A2383"/>
    <w:rPr>
      <w:rFonts w:ascii="Times New Roman" w:hAnsi="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A2383"/>
    <w:rPr>
      <w:b/>
      <w:bCs/>
    </w:rPr>
  </w:style>
  <w:style w:type="character" w:customStyle="1" w:styleId="CommentSubjectChar">
    <w:name w:val="Comment Subject Char"/>
    <w:basedOn w:val="CommentTextChar"/>
    <w:link w:val="CommentSubject"/>
    <w:uiPriority w:val="99"/>
    <w:semiHidden/>
    <w:rsid w:val="002A2383"/>
    <w:rPr>
      <w:rFonts w:ascii="Times New Roman" w:hAnsi="Times New Roman"/>
      <w:b/>
      <w:bCs/>
      <w:sz w:val="20"/>
      <w:szCs w:val="20"/>
      <w:lang w:eastAsia="ar-SA"/>
    </w:rPr>
  </w:style>
  <w:style w:type="character" w:customStyle="1" w:styleId="jlqj4b">
    <w:name w:val="jlqj4b"/>
    <w:basedOn w:val="DefaultParagraphFont"/>
    <w:rsid w:val="00C87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36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Referral_(medicine)" TargetMode="Externa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en.wikipedia.org/wiki/Secondary_care" TargetMode="External"/><Relationship Id="rId4" Type="http://schemas.openxmlformats.org/officeDocument/2006/relationships/settings" Target="settings.xml"/><Relationship Id="rId9" Type="http://schemas.openxmlformats.org/officeDocument/2006/relationships/hyperlink" Target="http://en.wikipedia.org/wiki/Primary_care" TargetMode="Externa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9731522132307637"/>
          <c:y val="4.3650793650793704E-2"/>
          <c:w val="0.4366202620823158"/>
          <c:h val="0.77883482137954763"/>
        </c:manualLayout>
      </c:layout>
      <c:barChart>
        <c:barDir val="bar"/>
        <c:grouping val="clustered"/>
        <c:varyColors val="0"/>
        <c:ser>
          <c:idx val="0"/>
          <c:order val="0"/>
          <c:tx>
            <c:strRef>
              <c:f>Sheet1!$C$1</c:f>
              <c:strCache>
                <c:ptCount val="1"/>
                <c:pt idx="0">
                  <c:v>2021</c:v>
                </c:pt>
              </c:strCache>
            </c:strRef>
          </c:tx>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Government Schemes and Compulsory Contributory Health Care Financing Schemes </c:v>
                </c:pt>
                <c:pt idx="1">
                  <c:v>Household out-of-Pocket Payment</c:v>
                </c:pt>
                <c:pt idx="2">
                  <c:v>Voluntary Healthcare Payment Schemes</c:v>
                </c:pt>
                <c:pt idx="3">
                  <c:v> Rest of the World</c:v>
                </c:pt>
              </c:strCache>
            </c:strRef>
          </c:cat>
          <c:val>
            <c:numRef>
              <c:f>Sheet1!$C$2:$C$5</c:f>
              <c:numCache>
                <c:formatCode>0.0</c:formatCode>
                <c:ptCount val="4"/>
                <c:pt idx="0">
                  <c:v>47.3</c:v>
                </c:pt>
                <c:pt idx="1">
                  <c:v>33.5</c:v>
                </c:pt>
                <c:pt idx="2">
                  <c:v>16</c:v>
                </c:pt>
                <c:pt idx="3">
                  <c:v>3.2</c:v>
                </c:pt>
              </c:numCache>
            </c:numRef>
          </c:val>
          <c:extLst>
            <c:ext xmlns:c16="http://schemas.microsoft.com/office/drawing/2014/chart" uri="{C3380CC4-5D6E-409C-BE32-E72D297353CC}">
              <c16:uniqueId val="{00000000-EF98-4EB6-8E6D-B2C462AD5D25}"/>
            </c:ext>
          </c:extLst>
        </c:ser>
        <c:ser>
          <c:idx val="1"/>
          <c:order val="1"/>
          <c:tx>
            <c:strRef>
              <c:f>Sheet1!$B$1</c:f>
              <c:strCache>
                <c:ptCount val="1"/>
                <c:pt idx="0">
                  <c:v>2022</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Government Schemes and Compulsory Contributory Health Care Financing Schemes </c:v>
                </c:pt>
                <c:pt idx="1">
                  <c:v>Household out-of-Pocket Payment</c:v>
                </c:pt>
                <c:pt idx="2">
                  <c:v>Voluntary Healthcare Payment Schemes</c:v>
                </c:pt>
                <c:pt idx="3">
                  <c:v> Rest of the World</c:v>
                </c:pt>
              </c:strCache>
            </c:strRef>
          </c:cat>
          <c:val>
            <c:numRef>
              <c:f>Sheet1!$B$2:$B$5</c:f>
              <c:numCache>
                <c:formatCode>0.0</c:formatCode>
                <c:ptCount val="4"/>
                <c:pt idx="0">
                  <c:v>46.7</c:v>
                </c:pt>
                <c:pt idx="1">
                  <c:v>33.6</c:v>
                </c:pt>
                <c:pt idx="2">
                  <c:v>16.3</c:v>
                </c:pt>
                <c:pt idx="3" formatCode="General">
                  <c:v>3.4</c:v>
                </c:pt>
              </c:numCache>
            </c:numRef>
          </c:val>
          <c:extLst>
            <c:ext xmlns:c16="http://schemas.microsoft.com/office/drawing/2014/chart" uri="{C3380CC4-5D6E-409C-BE32-E72D297353CC}">
              <c16:uniqueId val="{00000001-EF98-4EB6-8E6D-B2C462AD5D25}"/>
            </c:ext>
          </c:extLst>
        </c:ser>
        <c:dLbls>
          <c:showLegendKey val="0"/>
          <c:showVal val="0"/>
          <c:showCatName val="0"/>
          <c:showSerName val="0"/>
          <c:showPercent val="0"/>
          <c:showBubbleSize val="0"/>
        </c:dLbls>
        <c:gapWidth val="150"/>
        <c:axId val="491754288"/>
        <c:axId val="491752720"/>
      </c:barChart>
      <c:catAx>
        <c:axId val="491754288"/>
        <c:scaling>
          <c:orientation val="minMax"/>
        </c:scaling>
        <c:delete val="0"/>
        <c:axPos val="l"/>
        <c:title>
          <c:tx>
            <c:rich>
              <a:bodyPr rot="-5400000" vert="horz"/>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Financing Schemes</a:t>
                </a:r>
                <a:endParaRPr lang="en-US" sz="900">
                  <a:latin typeface="Arial" pitchFamily="34" charset="0"/>
                  <a:cs typeface="Arial" pitchFamily="34" charset="0"/>
                </a:endParaRPr>
              </a:p>
            </c:rich>
          </c:tx>
          <c:layout>
            <c:manualLayout>
              <c:xMode val="edge"/>
              <c:yMode val="edge"/>
              <c:x val="1.8499248468030985E-2"/>
              <c:y val="0.18048880882509613"/>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491752720"/>
        <c:crosses val="autoZero"/>
        <c:auto val="0"/>
        <c:lblAlgn val="ctr"/>
        <c:lblOffset val="100"/>
        <c:noMultiLvlLbl val="0"/>
      </c:catAx>
      <c:valAx>
        <c:axId val="491752720"/>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0.68220614075854347"/>
              <c:y val="0.8871812780724585"/>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491754288"/>
        <c:crosses val="autoZero"/>
        <c:crossBetween val="between"/>
      </c:valAx>
      <c:spPr>
        <a:ln>
          <a:noFill/>
        </a:ln>
      </c:spPr>
    </c:plotArea>
    <c:legend>
      <c:legendPos val="r"/>
      <c:layout>
        <c:manualLayout>
          <c:xMode val="edge"/>
          <c:yMode val="edge"/>
          <c:x val="0.7771655365995962"/>
          <c:y val="3.9353518310211236E-2"/>
          <c:w val="0.20200113006707549"/>
          <c:h val="0.10780089988751405"/>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790743965934684E-2"/>
          <c:y val="4.4057617797775429E-2"/>
          <c:w val="0.88296198177719976"/>
          <c:h val="0.63153861260216582"/>
        </c:manualLayout>
      </c:layout>
      <c:barChart>
        <c:barDir val="col"/>
        <c:grouping val="clustered"/>
        <c:varyColors val="0"/>
        <c:ser>
          <c:idx val="0"/>
          <c:order val="0"/>
          <c:tx>
            <c:strRef>
              <c:f>Sheet1!$B$1</c:f>
              <c:strCache>
                <c:ptCount val="1"/>
                <c:pt idx="0">
                  <c:v>2022</c:v>
                </c:pt>
              </c:strCache>
            </c:strRef>
          </c:tx>
          <c:spPr>
            <a:solidFill>
              <a:schemeClr val="accent2">
                <a:lumMod val="20000"/>
                <a:lumOff val="8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Insurance Corporations</c:v>
                </c:pt>
                <c:pt idx="1">
                  <c:v>Non-Profit Institutions Serving Households (NPISH)</c:v>
                </c:pt>
                <c:pt idx="2">
                  <c:v>Households</c:v>
                </c:pt>
                <c:pt idx="3">
                  <c:v>Central Government</c:v>
                </c:pt>
              </c:strCache>
            </c:strRef>
          </c:cat>
          <c:val>
            <c:numRef>
              <c:f>Sheet1!$B$2:$B$5</c:f>
              <c:numCache>
                <c:formatCode>0.0</c:formatCode>
                <c:ptCount val="4"/>
                <c:pt idx="0">
                  <c:v>2.6</c:v>
                </c:pt>
                <c:pt idx="1">
                  <c:v>17.100000000000001</c:v>
                </c:pt>
                <c:pt idx="2">
                  <c:v>33.6</c:v>
                </c:pt>
                <c:pt idx="3">
                  <c:v>46.7</c:v>
                </c:pt>
              </c:numCache>
            </c:numRef>
          </c:val>
          <c:extLst>
            <c:ext xmlns:c16="http://schemas.microsoft.com/office/drawing/2014/chart" uri="{C3380CC4-5D6E-409C-BE32-E72D297353CC}">
              <c16:uniqueId val="{00000000-403A-4874-A2C2-52D330164356}"/>
            </c:ext>
          </c:extLst>
        </c:ser>
        <c:ser>
          <c:idx val="1"/>
          <c:order val="1"/>
          <c:tx>
            <c:strRef>
              <c:f>Sheet1!$C$1</c:f>
              <c:strCache>
                <c:ptCount val="1"/>
                <c:pt idx="0">
                  <c:v>2021</c:v>
                </c:pt>
              </c:strCache>
            </c:strRef>
          </c:tx>
          <c:spPr>
            <a:solidFill>
              <a:schemeClr val="tx2">
                <a:lumMod val="60000"/>
                <a:lumOff val="4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Insurance Corporations</c:v>
                </c:pt>
                <c:pt idx="1">
                  <c:v>Non-Profit Institutions Serving Households (NPISH)</c:v>
                </c:pt>
                <c:pt idx="2">
                  <c:v>Households</c:v>
                </c:pt>
                <c:pt idx="3">
                  <c:v>Central Government</c:v>
                </c:pt>
              </c:strCache>
            </c:strRef>
          </c:cat>
          <c:val>
            <c:numRef>
              <c:f>Sheet1!$C$2:$C$5</c:f>
              <c:numCache>
                <c:formatCode>0.0</c:formatCode>
                <c:ptCount val="4"/>
                <c:pt idx="0">
                  <c:v>3</c:v>
                </c:pt>
                <c:pt idx="1">
                  <c:v>16.2</c:v>
                </c:pt>
                <c:pt idx="2">
                  <c:v>33.5</c:v>
                </c:pt>
                <c:pt idx="3">
                  <c:v>47.3</c:v>
                </c:pt>
              </c:numCache>
            </c:numRef>
          </c:val>
          <c:extLst>
            <c:ext xmlns:c16="http://schemas.microsoft.com/office/drawing/2014/chart" uri="{C3380CC4-5D6E-409C-BE32-E72D297353CC}">
              <c16:uniqueId val="{00000001-403A-4874-A2C2-52D330164356}"/>
            </c:ext>
          </c:extLst>
        </c:ser>
        <c:dLbls>
          <c:showLegendKey val="0"/>
          <c:showVal val="0"/>
          <c:showCatName val="0"/>
          <c:showSerName val="0"/>
          <c:showPercent val="0"/>
          <c:showBubbleSize val="0"/>
        </c:dLbls>
        <c:gapWidth val="150"/>
        <c:axId val="491754680"/>
        <c:axId val="491755856"/>
      </c:barChart>
      <c:catAx>
        <c:axId val="491754680"/>
        <c:scaling>
          <c:orientation val="minMax"/>
        </c:scaling>
        <c:delete val="0"/>
        <c:axPos val="b"/>
        <c:title>
          <c:tx>
            <c:rich>
              <a:bodyPr/>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Financing Agents</a:t>
                </a:r>
                <a:endParaRPr lang="en-US" sz="900">
                  <a:latin typeface="Arial" pitchFamily="34" charset="0"/>
                  <a:cs typeface="Arial" pitchFamily="34" charset="0"/>
                </a:endParaRPr>
              </a:p>
            </c:rich>
          </c:tx>
          <c:layout>
            <c:manualLayout>
              <c:xMode val="edge"/>
              <c:yMode val="edge"/>
              <c:x val="0.44256622177546956"/>
              <c:y val="0.91768941590139719"/>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491755856"/>
        <c:crosses val="autoZero"/>
        <c:auto val="1"/>
        <c:lblAlgn val="ctr"/>
        <c:lblOffset val="100"/>
        <c:noMultiLvlLbl val="0"/>
      </c:catAx>
      <c:valAx>
        <c:axId val="491755856"/>
        <c:scaling>
          <c:orientation val="minMax"/>
        </c:scaling>
        <c:delete val="0"/>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9.3883987838373414E-3"/>
              <c:y val="0.39640922141050056"/>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491754680"/>
        <c:crosses val="autoZero"/>
        <c:crossBetween val="between"/>
      </c:valAx>
    </c:plotArea>
    <c:legend>
      <c:legendPos val="r"/>
      <c:layout>
        <c:manualLayout>
          <c:xMode val="edge"/>
          <c:yMode val="edge"/>
          <c:x val="0.16373961067366583"/>
          <c:y val="2.3480502437195391E-2"/>
          <c:w val="0.19493191650938035"/>
          <c:h val="8.1343225598605226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8828655729546216"/>
          <c:y val="2.910541636840849E-2"/>
          <c:w val="0.46881285437514442"/>
          <c:h val="0.87429214984490555"/>
        </c:manualLayout>
      </c:layout>
      <c:barChart>
        <c:barDir val="bar"/>
        <c:grouping val="clustered"/>
        <c:varyColors val="0"/>
        <c:ser>
          <c:idx val="0"/>
          <c:order val="0"/>
          <c:tx>
            <c:strRef>
              <c:f>Sheet1!$B$1</c:f>
              <c:strCache>
                <c:ptCount val="1"/>
                <c:pt idx="0">
                  <c:v>2021</c:v>
                </c:pt>
              </c:strCache>
            </c:strRef>
          </c:tx>
          <c:invertIfNegative val="0"/>
          <c:dLbls>
            <c:dLbl>
              <c:idx val="6"/>
              <c:layout>
                <c:manualLayout>
                  <c:x val="-6.7720090293453723E-3"/>
                  <c:y val="8.406893652795292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E08-4580-A265-FBB93FA559F3}"/>
                </c:ext>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Sheet1!$A$2:$A$11</c:f>
              <c:strCache>
                <c:ptCount val="10"/>
                <c:pt idx="0">
                  <c:v>Hospitals</c:v>
                </c:pt>
                <c:pt idx="1">
                  <c:v>Retailers and Other Providers of Medical Goods</c:v>
                </c:pt>
                <c:pt idx="2">
                  <c:v>Ambulatory Healthcare Centers</c:v>
                </c:pt>
                <c:pt idx="3">
                  <c:v>Providers of Ambulatory Healthcare</c:v>
                </c:pt>
                <c:pt idx="4">
                  <c:v>Rest of the World</c:v>
                </c:pt>
                <c:pt idx="5">
                  <c:v>Providers of Ancillary Services</c:v>
                </c:pt>
                <c:pt idx="6">
                  <c:v>Providers of Health care System Administration and Financing</c:v>
                </c:pt>
                <c:pt idx="7">
                  <c:v>Rest of the Economy</c:v>
                </c:pt>
                <c:pt idx="8">
                  <c:v>Residential Long-Term Health Care Facilities</c:v>
                </c:pt>
                <c:pt idx="9">
                  <c:v>Providers of Preventive Care</c:v>
                </c:pt>
              </c:strCache>
            </c:strRef>
          </c:cat>
          <c:val>
            <c:numRef>
              <c:f>Sheet1!$B$2:$B$11</c:f>
              <c:numCache>
                <c:formatCode>0.0</c:formatCode>
                <c:ptCount val="10"/>
                <c:pt idx="0">
                  <c:v>42.3</c:v>
                </c:pt>
                <c:pt idx="1">
                  <c:v>16</c:v>
                </c:pt>
                <c:pt idx="2">
                  <c:v>15.5</c:v>
                </c:pt>
                <c:pt idx="3">
                  <c:v>10.1</c:v>
                </c:pt>
                <c:pt idx="4">
                  <c:v>4.5</c:v>
                </c:pt>
                <c:pt idx="5">
                  <c:v>2.9</c:v>
                </c:pt>
                <c:pt idx="6">
                  <c:v>3.3</c:v>
                </c:pt>
                <c:pt idx="7">
                  <c:v>4.5999999999999996</c:v>
                </c:pt>
                <c:pt idx="8">
                  <c:v>0.4</c:v>
                </c:pt>
                <c:pt idx="9">
                  <c:v>0.4</c:v>
                </c:pt>
              </c:numCache>
            </c:numRef>
          </c:val>
          <c:extLst>
            <c:ext xmlns:c16="http://schemas.microsoft.com/office/drawing/2014/chart" uri="{C3380CC4-5D6E-409C-BE32-E72D297353CC}">
              <c16:uniqueId val="{00000001-7E08-4580-A265-FBB93FA559F3}"/>
            </c:ext>
          </c:extLst>
        </c:ser>
        <c:ser>
          <c:idx val="1"/>
          <c:order val="1"/>
          <c:tx>
            <c:strRef>
              <c:f>Sheet1!$C$1</c:f>
              <c:strCache>
                <c:ptCount val="1"/>
                <c:pt idx="0">
                  <c:v>2022</c:v>
                </c:pt>
              </c:strCache>
            </c:strRef>
          </c:tx>
          <c:spPr>
            <a:solidFill>
              <a:schemeClr val="accent2">
                <a:lumMod val="40000"/>
                <a:lumOff val="60000"/>
              </a:schemeClr>
            </a:solidFill>
          </c:spPr>
          <c:invertIfNegative val="0"/>
          <c:dLbls>
            <c:dLbl>
              <c:idx val="0"/>
              <c:layout>
                <c:manualLayout>
                  <c:x val="0"/>
                  <c:y val="-2.101723413198823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E08-4580-A265-FBB93FA559F3}"/>
                </c:ext>
              </c:extLst>
            </c:dLbl>
            <c:dLbl>
              <c:idx val="1"/>
              <c:layout>
                <c:manualLayout>
                  <c:x val="8.2768043104057746E-17"/>
                  <c:y val="-1.681378730559058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E08-4580-A265-FBB93FA559F3}"/>
                </c:ext>
              </c:extLst>
            </c:dLbl>
            <c:dLbl>
              <c:idx val="2"/>
              <c:layout>
                <c:manualLayout>
                  <c:x val="-8.2768043104057746E-17"/>
                  <c:y val="-1.681378730559073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E08-4580-A265-FBB93FA559F3}"/>
                </c:ext>
              </c:extLst>
            </c:dLbl>
            <c:dLbl>
              <c:idx val="3"/>
              <c:layout>
                <c:manualLayout>
                  <c:x val="0"/>
                  <c:y val="-1.681378730559050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E08-4580-A265-FBB93FA559F3}"/>
                </c:ext>
              </c:extLst>
            </c:dLbl>
            <c:dLbl>
              <c:idx val="4"/>
              <c:layout>
                <c:manualLayout>
                  <c:x val="-8.2768043104057746E-17"/>
                  <c:y val="-1.261034047919293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E08-4580-A265-FBB93FA559F3}"/>
                </c:ext>
              </c:extLst>
            </c:dLbl>
            <c:dLbl>
              <c:idx val="5"/>
              <c:layout>
                <c:manualLayout>
                  <c:x val="0"/>
                  <c:y val="-1.261034047919293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E08-4580-A265-FBB93FA559F3}"/>
                </c:ext>
              </c:extLst>
            </c:dLbl>
            <c:dLbl>
              <c:idx val="7"/>
              <c:layout>
                <c:manualLayout>
                  <c:x val="6.7720090293453723E-3"/>
                  <c:y val="-4.2034468263976842E-3"/>
                </c:manualLayout>
              </c:layout>
              <c:spPr>
                <a:noFill/>
                <a:ln>
                  <a:noFill/>
                </a:ln>
                <a:effectLst/>
              </c:spPr>
              <c:txPr>
                <a:bodyPr wrap="square" lIns="38100" tIns="19050" rIns="38100" bIns="19050" anchor="ctr">
                  <a:noAutofit/>
                </a:bodyPr>
                <a:lstStyle/>
                <a:p>
                  <a:pPr>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manualLayout>
                      <c:w val="4.2133093972734223E-2"/>
                      <c:h val="8.4930808617396977E-2"/>
                    </c:manualLayout>
                  </c15:layout>
                </c:ext>
                <c:ext xmlns:c16="http://schemas.microsoft.com/office/drawing/2014/chart" uri="{C3380CC4-5D6E-409C-BE32-E72D297353CC}">
                  <c16:uniqueId val="{00000008-7E08-4580-A265-FBB93FA559F3}"/>
                </c:ext>
              </c:extLst>
            </c:dLbl>
            <c:dLbl>
              <c:idx val="9"/>
              <c:layout>
                <c:manualLayout>
                  <c:x val="0"/>
                  <c:y val="-2.101723413198823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7E08-4580-A265-FBB93FA559F3}"/>
                </c:ext>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Sheet1!$A$2:$A$11</c:f>
              <c:strCache>
                <c:ptCount val="10"/>
                <c:pt idx="0">
                  <c:v>Hospitals</c:v>
                </c:pt>
                <c:pt idx="1">
                  <c:v>Retailers and Other Providers of Medical Goods</c:v>
                </c:pt>
                <c:pt idx="2">
                  <c:v>Ambulatory Healthcare Centers</c:v>
                </c:pt>
                <c:pt idx="3">
                  <c:v>Providers of Ambulatory Healthcare</c:v>
                </c:pt>
                <c:pt idx="4">
                  <c:v>Rest of the World</c:v>
                </c:pt>
                <c:pt idx="5">
                  <c:v>Providers of Ancillary Services</c:v>
                </c:pt>
                <c:pt idx="6">
                  <c:v>Providers of Health care System Administration and Financing</c:v>
                </c:pt>
                <c:pt idx="7">
                  <c:v>Rest of the Economy</c:v>
                </c:pt>
                <c:pt idx="8">
                  <c:v>Residential Long-Term Health Care Facilities</c:v>
                </c:pt>
                <c:pt idx="9">
                  <c:v>Providers of Preventive Care</c:v>
                </c:pt>
              </c:strCache>
            </c:strRef>
          </c:cat>
          <c:val>
            <c:numRef>
              <c:f>Sheet1!$C$2:$C$11</c:f>
              <c:numCache>
                <c:formatCode>0.0</c:formatCode>
                <c:ptCount val="10"/>
                <c:pt idx="0">
                  <c:v>43.8</c:v>
                </c:pt>
                <c:pt idx="1">
                  <c:v>16.3</c:v>
                </c:pt>
                <c:pt idx="2">
                  <c:v>15.4</c:v>
                </c:pt>
                <c:pt idx="3">
                  <c:v>9.6999999999999993</c:v>
                </c:pt>
                <c:pt idx="4">
                  <c:v>5.3</c:v>
                </c:pt>
                <c:pt idx="5">
                  <c:v>4.0999999999999996</c:v>
                </c:pt>
                <c:pt idx="6">
                  <c:v>2.5</c:v>
                </c:pt>
                <c:pt idx="7">
                  <c:v>0.8</c:v>
                </c:pt>
                <c:pt idx="8">
                  <c:v>1.7</c:v>
                </c:pt>
                <c:pt idx="9">
                  <c:v>0.4</c:v>
                </c:pt>
              </c:numCache>
            </c:numRef>
          </c:val>
          <c:extLst>
            <c:ext xmlns:c16="http://schemas.microsoft.com/office/drawing/2014/chart" uri="{C3380CC4-5D6E-409C-BE32-E72D297353CC}">
              <c16:uniqueId val="{0000000A-7E08-4580-A265-FBB93FA559F3}"/>
            </c:ext>
          </c:extLst>
        </c:ser>
        <c:dLbls>
          <c:dLblPos val="outEnd"/>
          <c:showLegendKey val="0"/>
          <c:showVal val="1"/>
          <c:showCatName val="0"/>
          <c:showSerName val="0"/>
          <c:showPercent val="0"/>
          <c:showBubbleSize val="0"/>
        </c:dLbls>
        <c:gapWidth val="150"/>
        <c:axId val="490999776"/>
        <c:axId val="490998208"/>
      </c:barChart>
      <c:catAx>
        <c:axId val="490999776"/>
        <c:scaling>
          <c:orientation val="minMax"/>
        </c:scaling>
        <c:delete val="0"/>
        <c:axPos val="l"/>
        <c:title>
          <c:tx>
            <c:rich>
              <a:bodyPr rot="-5400000" vert="horz"/>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Health Care Provider</a:t>
                </a:r>
                <a:endParaRPr lang="en-US" sz="900">
                  <a:latin typeface="Arial" pitchFamily="34" charset="0"/>
                  <a:cs typeface="Arial" pitchFamily="34" charset="0"/>
                </a:endParaRPr>
              </a:p>
            </c:rich>
          </c:tx>
          <c:layout>
            <c:manualLayout>
              <c:xMode val="edge"/>
              <c:yMode val="edge"/>
              <c:x val="1.1286681715575621E-2"/>
              <c:y val="0.24628518763398849"/>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490998208"/>
        <c:crosses val="autoZero"/>
        <c:auto val="1"/>
        <c:lblAlgn val="ctr"/>
        <c:lblOffset val="100"/>
        <c:noMultiLvlLbl val="0"/>
      </c:catAx>
      <c:valAx>
        <c:axId val="490998208"/>
        <c:scaling>
          <c:orientation val="minMax"/>
          <c:max val="50"/>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0.44223796235402862"/>
              <c:y val="0.92991190646623723"/>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490999776"/>
        <c:crosses val="autoZero"/>
        <c:crossBetween val="between"/>
      </c:valAx>
    </c:plotArea>
    <c:legend>
      <c:legendPos val="r"/>
      <c:layout>
        <c:manualLayout>
          <c:xMode val="edge"/>
          <c:yMode val="edge"/>
          <c:x val="0.79568405511811224"/>
          <c:y val="4.3321772278465155E-2"/>
          <c:w val="0.17422335228929756"/>
          <c:h val="9.1927884014498223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901829979585891"/>
          <c:y val="0.13979082947664845"/>
          <c:w val="0.84938393117526956"/>
          <c:h val="0.75831898150444965"/>
        </c:manualLayout>
      </c:layout>
      <c:barChart>
        <c:barDir val="col"/>
        <c:grouping val="clustered"/>
        <c:varyColors val="0"/>
        <c:ser>
          <c:idx val="0"/>
          <c:order val="0"/>
          <c:tx>
            <c:strRef>
              <c:f>Sheet1!$B$1</c:f>
              <c:strCache>
                <c:ptCount val="1"/>
                <c:pt idx="0">
                  <c:v>Total Current Expenditure on Health </c:v>
                </c:pt>
              </c:strCache>
            </c:strRef>
          </c:tx>
          <c:spPr>
            <a:solidFill>
              <a:schemeClr val="accent2">
                <a:lumMod val="40000"/>
                <a:lumOff val="60000"/>
              </a:schemeClr>
            </a:solidFill>
            <a:ln>
              <a:noFill/>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2021</c:v>
                </c:pt>
                <c:pt idx="1">
                  <c:v>2022</c:v>
                </c:pt>
              </c:numCache>
            </c:numRef>
          </c:cat>
          <c:val>
            <c:numRef>
              <c:f>Sheet1!$B$2:$B$3</c:f>
              <c:numCache>
                <c:formatCode>_(* #,##0.0_);_(* \(#,##0.0\);_(* "-"??_);_(@_)</c:formatCode>
                <c:ptCount val="2"/>
                <c:pt idx="0">
                  <c:v>1889.6</c:v>
                </c:pt>
                <c:pt idx="1">
                  <c:v>1860.2</c:v>
                </c:pt>
              </c:numCache>
            </c:numRef>
          </c:val>
          <c:extLst>
            <c:ext xmlns:c16="http://schemas.microsoft.com/office/drawing/2014/chart" uri="{C3380CC4-5D6E-409C-BE32-E72D297353CC}">
              <c16:uniqueId val="{00000000-A2E5-405D-9132-EF75F420A2AF}"/>
            </c:ext>
          </c:extLst>
        </c:ser>
        <c:ser>
          <c:idx val="1"/>
          <c:order val="1"/>
          <c:tx>
            <c:strRef>
              <c:f>Sheet1!$C$1</c:f>
              <c:strCache>
                <c:ptCount val="1"/>
                <c:pt idx="0">
                  <c:v>Gross Domestic Product </c:v>
                </c:pt>
              </c:strCache>
            </c:strRef>
          </c:tx>
          <c:spPr>
            <a:solidFill>
              <a:schemeClr val="accent1">
                <a:lumMod val="20000"/>
                <a:lumOff val="8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2021</c:v>
                </c:pt>
                <c:pt idx="1">
                  <c:v>2022</c:v>
                </c:pt>
              </c:numCache>
            </c:numRef>
          </c:cat>
          <c:val>
            <c:numRef>
              <c:f>Sheet1!$C$2:$C$3</c:f>
              <c:numCache>
                <c:formatCode>_(* #,##0.0_);_(* \(#,##0.0\);_(* "-"??_);_(@_)</c:formatCode>
                <c:ptCount val="2"/>
                <c:pt idx="0">
                  <c:v>18109</c:v>
                </c:pt>
                <c:pt idx="1">
                  <c:v>19165.5</c:v>
                </c:pt>
              </c:numCache>
            </c:numRef>
          </c:val>
          <c:extLst>
            <c:ext xmlns:c16="http://schemas.microsoft.com/office/drawing/2014/chart" uri="{C3380CC4-5D6E-409C-BE32-E72D297353CC}">
              <c16:uniqueId val="{00000001-A2E5-405D-9132-EF75F420A2AF}"/>
            </c:ext>
          </c:extLst>
        </c:ser>
        <c:dLbls>
          <c:showLegendKey val="0"/>
          <c:showVal val="0"/>
          <c:showCatName val="0"/>
          <c:showSerName val="0"/>
          <c:showPercent val="0"/>
          <c:showBubbleSize val="0"/>
        </c:dLbls>
        <c:gapWidth val="150"/>
        <c:axId val="490998600"/>
        <c:axId val="490999384"/>
      </c:barChart>
      <c:catAx>
        <c:axId val="490998600"/>
        <c:scaling>
          <c:orientation val="minMax"/>
        </c:scaling>
        <c:delete val="0"/>
        <c:axPos val="b"/>
        <c:title>
          <c:tx>
            <c:rich>
              <a:bodyPr/>
              <a:lstStyle/>
              <a:p>
                <a:pPr>
                  <a:defRPr/>
                </a:pPr>
                <a:r>
                  <a:rPr lang="en-US"/>
                  <a:t>Year</a:t>
                </a:r>
                <a:endParaRPr lang="ar-SA"/>
              </a:p>
            </c:rich>
          </c:tx>
          <c:overlay val="0"/>
        </c:title>
        <c:numFmt formatCode="General" sourceLinked="1"/>
        <c:majorTickMark val="out"/>
        <c:minorTickMark val="none"/>
        <c:tickLblPos val="nextTo"/>
        <c:crossAx val="490999384"/>
        <c:crosses val="autoZero"/>
        <c:auto val="1"/>
        <c:lblAlgn val="ctr"/>
        <c:lblOffset val="100"/>
        <c:noMultiLvlLbl val="0"/>
      </c:catAx>
      <c:valAx>
        <c:axId val="490999384"/>
        <c:scaling>
          <c:orientation val="minMax"/>
        </c:scaling>
        <c:delete val="0"/>
        <c:axPos val="l"/>
        <c:title>
          <c:tx>
            <c:rich>
              <a:bodyPr rot="-5400000" vert="horz"/>
              <a:lstStyle/>
              <a:p>
                <a:pPr>
                  <a:defRPr/>
                </a:pPr>
                <a:r>
                  <a:rPr lang="en-US"/>
                  <a:t>USD Million</a:t>
                </a:r>
              </a:p>
            </c:rich>
          </c:tx>
          <c:overlay val="0"/>
        </c:title>
        <c:numFmt formatCode="#,##0" sourceLinked="0"/>
        <c:majorTickMark val="out"/>
        <c:minorTickMark val="none"/>
        <c:tickLblPos val="nextTo"/>
        <c:crossAx val="490998600"/>
        <c:crosses val="autoZero"/>
        <c:crossBetween val="between"/>
      </c:valAx>
    </c:plotArea>
    <c:legend>
      <c:legendPos val="r"/>
      <c:layout>
        <c:manualLayout>
          <c:xMode val="edge"/>
          <c:yMode val="edge"/>
          <c:x val="0.19973680725983886"/>
          <c:y val="1.9183227096612986E-2"/>
          <c:w val="0.6847353652320759"/>
          <c:h val="0.10204121613984855"/>
        </c:manualLayout>
      </c:layout>
      <c:overlay val="0"/>
      <c:spPr>
        <a:ln>
          <a:solidFill>
            <a:schemeClr val="tx1"/>
          </a:solidFill>
        </a:ln>
      </c:spPr>
    </c:legend>
    <c:plotVisOnly val="1"/>
    <c:dispBlanksAs val="gap"/>
    <c:showDLblsOverMax val="0"/>
  </c:chart>
  <c:spPr>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29D61-94E6-4D3E-AA3F-7137688BB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16</Pages>
  <Words>5613</Words>
  <Characters>31995</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aomar</dc:creator>
  <cp:lastModifiedBy>HANAN JANAJREH</cp:lastModifiedBy>
  <cp:revision>26</cp:revision>
  <cp:lastPrinted>2024-01-28T12:09:00Z</cp:lastPrinted>
  <dcterms:created xsi:type="dcterms:W3CDTF">2023-02-20T08:49:00Z</dcterms:created>
  <dcterms:modified xsi:type="dcterms:W3CDTF">2024-01-29T08:59:00Z</dcterms:modified>
</cp:coreProperties>
</file>